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5" w:type="dxa"/>
        <w:tblLayout w:type="fixed"/>
        <w:tblLook w:val="01E0" w:firstRow="1" w:lastRow="1" w:firstColumn="1" w:lastColumn="1" w:noHBand="0" w:noVBand="0"/>
      </w:tblPr>
      <w:tblGrid>
        <w:gridCol w:w="9647"/>
      </w:tblGrid>
      <w:tr w:rsidR="00507B46" w14:paraId="28EC8598" w14:textId="77777777" w:rsidTr="00507B46">
        <w:trPr>
          <w:trHeight w:val="628"/>
        </w:trPr>
        <w:tc>
          <w:tcPr>
            <w:tcW w:w="9647" w:type="dxa"/>
            <w:tcFitText/>
            <w:vAlign w:val="center"/>
            <w:hideMark/>
          </w:tcPr>
          <w:p w14:paraId="61811B72" w14:textId="77777777" w:rsidR="00507B46" w:rsidRDefault="00507B46">
            <w:pPr>
              <w:spacing w:line="276" w:lineRule="auto"/>
              <w:jc w:val="center"/>
              <w:rPr>
                <w:lang w:eastAsia="en-US"/>
              </w:rPr>
            </w:pPr>
            <w:bookmarkStart w:id="0" w:name="_Hlk87022874"/>
            <w:bookmarkStart w:id="1" w:name="_Hlk88411547"/>
            <w:r w:rsidRPr="00923424">
              <w:rPr>
                <w:spacing w:val="26"/>
                <w:lang w:eastAsia="en-US"/>
              </w:rPr>
              <w:t>МИНИСТЕРСТВО НАУКИ И ВЫСШЕГО ОБРАЗОВАНИЯ РОССИЙСКОЙ ФЕДЕРАЦИ</w:t>
            </w:r>
            <w:r w:rsidRPr="00923424">
              <w:rPr>
                <w:spacing w:val="-14"/>
                <w:lang w:eastAsia="en-US"/>
              </w:rPr>
              <w:t>И</w:t>
            </w:r>
          </w:p>
          <w:p w14:paraId="3106D675" w14:textId="77777777" w:rsidR="00507B46" w:rsidRDefault="00507B46">
            <w:pPr>
              <w:spacing w:line="276" w:lineRule="auto"/>
              <w:jc w:val="center"/>
              <w:rPr>
                <w:caps/>
                <w:sz w:val="16"/>
                <w:szCs w:val="16"/>
                <w:lang w:eastAsia="en-US"/>
              </w:rPr>
            </w:pPr>
            <w:r>
              <w:rPr>
                <w:caps/>
                <w:spacing w:val="14"/>
                <w:sz w:val="15"/>
                <w:szCs w:val="15"/>
                <w:lang w:eastAsia="en-US"/>
              </w:rPr>
              <w:t>федеральное государственное АВТОНОМНОЕ образовательное учреждение высшего образовани</w:t>
            </w:r>
            <w:r>
              <w:rPr>
                <w:caps/>
                <w:spacing w:val="19"/>
                <w:sz w:val="15"/>
                <w:szCs w:val="15"/>
                <w:lang w:eastAsia="en-US"/>
              </w:rPr>
              <w:t>я</w:t>
            </w:r>
          </w:p>
          <w:p w14:paraId="6E5E0B83" w14:textId="77777777" w:rsidR="00507B46" w:rsidRDefault="00507B46">
            <w:pPr>
              <w:spacing w:line="276" w:lineRule="auto"/>
              <w:jc w:val="center"/>
              <w:rPr>
                <w:spacing w:val="20"/>
                <w:lang w:eastAsia="en-US"/>
              </w:rPr>
            </w:pPr>
            <w:r>
              <w:rPr>
                <w:spacing w:val="63"/>
                <w:lang w:eastAsia="en-US"/>
              </w:rPr>
              <w:t>«Национальный исследовательский ядерный университет «МИФИ</w:t>
            </w:r>
            <w:r>
              <w:rPr>
                <w:lang w:eastAsia="en-US"/>
              </w:rPr>
              <w:t>»</w:t>
            </w:r>
          </w:p>
        </w:tc>
      </w:tr>
      <w:tr w:rsidR="00507B46" w14:paraId="5F03DE7B" w14:textId="77777777" w:rsidTr="00507B46">
        <w:trPr>
          <w:trHeight w:val="975"/>
        </w:trPr>
        <w:tc>
          <w:tcPr>
            <w:tcW w:w="9647" w:type="dxa"/>
            <w:hideMark/>
          </w:tcPr>
          <w:p w14:paraId="14CDEC5E" w14:textId="77777777" w:rsidR="00507B46" w:rsidRDefault="00507B46">
            <w:pPr>
              <w:spacing w:line="276" w:lineRule="auto"/>
              <w:jc w:val="center"/>
              <w:rPr>
                <w:rFonts w:ascii="Book Antiqua" w:hAnsi="Book Antiqua"/>
                <w:b/>
                <w:sz w:val="28"/>
                <w:szCs w:val="28"/>
                <w:lang w:eastAsia="en-US"/>
              </w:rPr>
            </w:pPr>
            <w:r>
              <w:rPr>
                <w:rFonts w:ascii="Book Antiqua" w:hAnsi="Book Antiqua"/>
                <w:b/>
                <w:sz w:val="28"/>
                <w:szCs w:val="28"/>
                <w:lang w:eastAsia="en-US"/>
              </w:rPr>
              <w:t>Обнинский институт атомной энергетики</w:t>
            </w:r>
            <w:r>
              <w:rPr>
                <w:rFonts w:ascii="Book Antiqua" w:hAnsi="Book Antiqua"/>
                <w:b/>
                <w:lang w:eastAsia="en-US"/>
              </w:rPr>
              <w:t xml:space="preserve"> </w:t>
            </w:r>
            <w:r>
              <w:rPr>
                <w:rFonts w:ascii="Book Antiqua" w:hAnsi="Book Antiqua"/>
                <w:b/>
                <w:sz w:val="28"/>
                <w:szCs w:val="28"/>
                <w:lang w:eastAsia="en-US"/>
              </w:rPr>
              <w:t xml:space="preserve">– </w:t>
            </w:r>
          </w:p>
          <w:p w14:paraId="3AF184F3" w14:textId="77777777" w:rsidR="00507B46" w:rsidRDefault="00507B46">
            <w:pPr>
              <w:spacing w:line="276" w:lineRule="auto"/>
              <w:jc w:val="center"/>
              <w:rPr>
                <w:rFonts w:ascii="Book Antiqua" w:hAnsi="Book Antiqua"/>
                <w:sz w:val="18"/>
                <w:szCs w:val="18"/>
                <w:lang w:eastAsia="en-US"/>
              </w:rPr>
            </w:pPr>
            <w:r>
              <w:rPr>
                <w:rFonts w:ascii="Book Antiqua" w:hAnsi="Book Antiqua"/>
                <w:sz w:val="18"/>
                <w:szCs w:val="18"/>
                <w:lang w:eastAsia="en-US"/>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E863DF6" w14:textId="77777777" w:rsidR="00507B46" w:rsidRDefault="00507B46">
            <w:pPr>
              <w:spacing w:line="240" w:lineRule="atLeast"/>
              <w:jc w:val="center"/>
              <w:rPr>
                <w:sz w:val="26"/>
                <w:szCs w:val="26"/>
                <w:lang w:eastAsia="en-US"/>
              </w:rPr>
            </w:pPr>
            <w:r>
              <w:rPr>
                <w:rFonts w:ascii="Book Antiqua" w:hAnsi="Book Antiqua"/>
                <w:b/>
                <w:sz w:val="26"/>
                <w:szCs w:val="26"/>
                <w:lang w:eastAsia="en-US"/>
              </w:rPr>
              <w:t>(ИАТЭ НИЯУ МИФИ)</w:t>
            </w:r>
          </w:p>
        </w:tc>
      </w:tr>
      <w:bookmarkEnd w:id="0"/>
    </w:tbl>
    <w:p w14:paraId="327B05E7" w14:textId="77777777" w:rsidR="00507B46" w:rsidRDefault="00507B46" w:rsidP="00507B46">
      <w:pPr>
        <w:ind w:right="-5"/>
        <w:jc w:val="center"/>
        <w:rPr>
          <w:b/>
          <w:sz w:val="28"/>
        </w:rPr>
      </w:pPr>
    </w:p>
    <w:p w14:paraId="349E3401" w14:textId="77777777" w:rsidR="00507B46" w:rsidRDefault="00507B46" w:rsidP="00507B46">
      <w:pPr>
        <w:jc w:val="center"/>
        <w:rPr>
          <w:b/>
          <w:sz w:val="28"/>
          <w:szCs w:val="28"/>
          <w:lang w:val="en-US"/>
        </w:rPr>
      </w:pPr>
      <w:r>
        <w:rPr>
          <w:b/>
          <w:sz w:val="28"/>
          <w:szCs w:val="28"/>
        </w:rPr>
        <w:t>ОТДЕЛЕНИЕ БИОТЕХНОЛОГИЙ</w:t>
      </w:r>
    </w:p>
    <w:p w14:paraId="343DCFF9" w14:textId="77777777" w:rsidR="00507B46" w:rsidRDefault="00507B46" w:rsidP="00507B46">
      <w:pPr>
        <w:ind w:right="-5"/>
        <w:jc w:val="center"/>
        <w:rPr>
          <w:b/>
          <w:sz w:val="28"/>
          <w:lang w:val="en-US"/>
        </w:rPr>
      </w:pPr>
    </w:p>
    <w:p w14:paraId="4260537B" w14:textId="77777777" w:rsidR="00507B46" w:rsidRDefault="00507B46" w:rsidP="00507B46">
      <w:pPr>
        <w:jc w:val="right"/>
        <w:rPr>
          <w:sz w:val="28"/>
          <w:szCs w:val="28"/>
        </w:rPr>
      </w:pPr>
    </w:p>
    <w:p w14:paraId="313F87AB" w14:textId="77777777" w:rsidR="005D710B" w:rsidRPr="005D710B" w:rsidRDefault="005D710B" w:rsidP="005D710B">
      <w:pPr>
        <w:ind w:right="-5"/>
        <w:jc w:val="right"/>
        <w:rPr>
          <w:sz w:val="28"/>
          <w:szCs w:val="28"/>
        </w:rPr>
      </w:pPr>
      <w:r w:rsidRPr="005D710B">
        <w:rPr>
          <w:sz w:val="28"/>
          <w:szCs w:val="28"/>
        </w:rPr>
        <w:t>Одобрено на заседании</w:t>
      </w:r>
    </w:p>
    <w:p w14:paraId="6D447B71" w14:textId="77777777" w:rsidR="005D710B" w:rsidRPr="005D710B" w:rsidRDefault="005D710B" w:rsidP="005D710B">
      <w:pPr>
        <w:ind w:right="-5"/>
        <w:jc w:val="right"/>
        <w:rPr>
          <w:sz w:val="28"/>
          <w:szCs w:val="28"/>
        </w:rPr>
      </w:pPr>
      <w:r w:rsidRPr="005D710B">
        <w:rPr>
          <w:sz w:val="28"/>
          <w:szCs w:val="28"/>
        </w:rPr>
        <w:t>УМС ИАТЭ НИЯУ МИФИ</w:t>
      </w:r>
    </w:p>
    <w:p w14:paraId="77409376" w14:textId="4A9FC631" w:rsidR="005D710B" w:rsidRPr="005D710B" w:rsidRDefault="005D710B" w:rsidP="005D710B">
      <w:pPr>
        <w:ind w:right="-5"/>
        <w:jc w:val="right"/>
        <w:rPr>
          <w:sz w:val="28"/>
          <w:szCs w:val="28"/>
        </w:rPr>
      </w:pPr>
      <w:r w:rsidRPr="005D710B">
        <w:rPr>
          <w:sz w:val="28"/>
          <w:szCs w:val="28"/>
        </w:rPr>
        <w:t>Протокол № 3-8/2022 от 30.08.2022</w:t>
      </w:r>
      <w:r w:rsidR="00190293">
        <w:rPr>
          <w:sz w:val="28"/>
          <w:szCs w:val="28"/>
        </w:rPr>
        <w:t>г.</w:t>
      </w:r>
    </w:p>
    <w:p w14:paraId="3E69E79F" w14:textId="77777777" w:rsidR="00507B46" w:rsidRDefault="00507B46" w:rsidP="00507B46">
      <w:pPr>
        <w:ind w:right="-5"/>
        <w:jc w:val="center"/>
        <w:rPr>
          <w:b/>
          <w:sz w:val="28"/>
        </w:rPr>
      </w:pPr>
    </w:p>
    <w:p w14:paraId="7FE7906E" w14:textId="77777777" w:rsidR="00507B46" w:rsidRDefault="00507B46" w:rsidP="00507B46">
      <w:pPr>
        <w:jc w:val="right"/>
        <w:rPr>
          <w:sz w:val="28"/>
          <w:szCs w:val="28"/>
        </w:rPr>
      </w:pPr>
    </w:p>
    <w:p w14:paraId="719CCBB6" w14:textId="77777777" w:rsidR="00507B46" w:rsidRDefault="00507B46" w:rsidP="00507B46">
      <w:pPr>
        <w:jc w:val="right"/>
        <w:rPr>
          <w:sz w:val="28"/>
          <w:szCs w:val="28"/>
        </w:rPr>
      </w:pPr>
    </w:p>
    <w:p w14:paraId="273FF9C8" w14:textId="77777777" w:rsidR="00507B46" w:rsidRDefault="00507B46" w:rsidP="00507B46">
      <w:pPr>
        <w:jc w:val="right"/>
        <w:rPr>
          <w:sz w:val="28"/>
          <w:szCs w:val="28"/>
        </w:rPr>
      </w:pPr>
    </w:p>
    <w:p w14:paraId="5C5E4073" w14:textId="77777777" w:rsidR="00507B46" w:rsidRDefault="00507B46" w:rsidP="00507B46">
      <w:pPr>
        <w:jc w:val="right"/>
        <w:rPr>
          <w:sz w:val="28"/>
          <w:szCs w:val="28"/>
        </w:rPr>
      </w:pPr>
    </w:p>
    <w:p w14:paraId="26DB70F8" w14:textId="77777777" w:rsidR="00507B46" w:rsidRDefault="00507B46" w:rsidP="00507B46">
      <w:pPr>
        <w:jc w:val="center"/>
        <w:rPr>
          <w:b/>
          <w:sz w:val="32"/>
          <w:szCs w:val="32"/>
        </w:rPr>
      </w:pPr>
      <w:r>
        <w:rPr>
          <w:b/>
          <w:sz w:val="32"/>
          <w:szCs w:val="32"/>
        </w:rPr>
        <w:t>МЕТОДИЧЕСКИЕ РЕКОМЕНДАЦИИ</w:t>
      </w:r>
    </w:p>
    <w:p w14:paraId="4B8990DE" w14:textId="1F10228F" w:rsidR="00507B46" w:rsidRDefault="00507B46" w:rsidP="00507B46">
      <w:pPr>
        <w:jc w:val="center"/>
        <w:rPr>
          <w:b/>
          <w:sz w:val="32"/>
          <w:szCs w:val="32"/>
        </w:rPr>
      </w:pPr>
      <w:r>
        <w:rPr>
          <w:b/>
          <w:sz w:val="32"/>
          <w:szCs w:val="32"/>
        </w:rPr>
        <w:t>по преподаванию учебной дисциплины</w:t>
      </w:r>
    </w:p>
    <w:p w14:paraId="77876604" w14:textId="77777777" w:rsidR="00507B46" w:rsidRDefault="00507B46" w:rsidP="00507B46">
      <w:pPr>
        <w:rPr>
          <w:sz w:val="28"/>
          <w:szCs w:val="28"/>
        </w:rPr>
      </w:pPr>
    </w:p>
    <w:p w14:paraId="2061B1B3" w14:textId="77777777" w:rsidR="00507B46" w:rsidRDefault="00507B46" w:rsidP="00507B46">
      <w:pPr>
        <w:rPr>
          <w:sz w:val="28"/>
          <w:szCs w:val="28"/>
        </w:rPr>
      </w:pPr>
    </w:p>
    <w:p w14:paraId="5EEAD872" w14:textId="77777777" w:rsidR="00507B46" w:rsidRDefault="00507B46" w:rsidP="00507B46">
      <w:pPr>
        <w:rPr>
          <w:sz w:val="28"/>
          <w:szCs w:val="28"/>
        </w:rPr>
      </w:pPr>
    </w:p>
    <w:tbl>
      <w:tblPr>
        <w:tblW w:w="0" w:type="auto"/>
        <w:tblLook w:val="04A0" w:firstRow="1" w:lastRow="0" w:firstColumn="1" w:lastColumn="0" w:noHBand="0" w:noVBand="1"/>
      </w:tblPr>
      <w:tblGrid>
        <w:gridCol w:w="9571"/>
      </w:tblGrid>
      <w:tr w:rsidR="00507B46" w14:paraId="7AC126F1" w14:textId="77777777" w:rsidTr="00507B46">
        <w:tc>
          <w:tcPr>
            <w:tcW w:w="9571" w:type="dxa"/>
            <w:tcBorders>
              <w:top w:val="nil"/>
              <w:left w:val="nil"/>
              <w:bottom w:val="single" w:sz="4" w:space="0" w:color="auto"/>
              <w:right w:val="nil"/>
            </w:tcBorders>
            <w:hideMark/>
          </w:tcPr>
          <w:p w14:paraId="727E84FF" w14:textId="1A764794" w:rsidR="00507B46" w:rsidRDefault="00923424">
            <w:pPr>
              <w:spacing w:line="276" w:lineRule="auto"/>
              <w:jc w:val="center"/>
              <w:rPr>
                <w:b/>
                <w:sz w:val="28"/>
                <w:szCs w:val="28"/>
                <w:lang w:eastAsia="en-US"/>
              </w:rPr>
            </w:pPr>
            <w:r w:rsidRPr="00923424">
              <w:rPr>
                <w:b/>
                <w:sz w:val="28"/>
                <w:szCs w:val="28"/>
                <w:lang w:eastAsia="en-US"/>
              </w:rPr>
              <w:t>«Современные тенденции в производстве и обеспечении качества лекарственных препаратов»</w:t>
            </w:r>
          </w:p>
        </w:tc>
      </w:tr>
      <w:tr w:rsidR="00507B46" w14:paraId="173E4851" w14:textId="77777777" w:rsidTr="00507B46">
        <w:tc>
          <w:tcPr>
            <w:tcW w:w="10138" w:type="dxa"/>
            <w:tcBorders>
              <w:top w:val="single" w:sz="4" w:space="0" w:color="auto"/>
              <w:left w:val="nil"/>
              <w:bottom w:val="nil"/>
              <w:right w:val="nil"/>
            </w:tcBorders>
            <w:hideMark/>
          </w:tcPr>
          <w:p w14:paraId="5EFFD293" w14:textId="77777777" w:rsidR="00507B46" w:rsidRDefault="00507B46">
            <w:pPr>
              <w:spacing w:line="276" w:lineRule="auto"/>
              <w:jc w:val="center"/>
              <w:rPr>
                <w:i/>
                <w:lang w:eastAsia="en-US"/>
              </w:rPr>
            </w:pPr>
            <w:r>
              <w:rPr>
                <w:i/>
                <w:lang w:eastAsia="en-US"/>
              </w:rPr>
              <w:t xml:space="preserve"> название дисциплины</w:t>
            </w:r>
          </w:p>
        </w:tc>
      </w:tr>
      <w:tr w:rsidR="00507B46" w14:paraId="178BC422" w14:textId="77777777" w:rsidTr="00507B46">
        <w:tc>
          <w:tcPr>
            <w:tcW w:w="10138" w:type="dxa"/>
          </w:tcPr>
          <w:p w14:paraId="4B690904" w14:textId="77777777" w:rsidR="00507B46" w:rsidRDefault="00507B46">
            <w:pPr>
              <w:spacing w:line="276" w:lineRule="auto"/>
              <w:rPr>
                <w:sz w:val="24"/>
                <w:szCs w:val="24"/>
                <w:lang w:eastAsia="en-US"/>
              </w:rPr>
            </w:pPr>
          </w:p>
        </w:tc>
      </w:tr>
      <w:tr w:rsidR="00507B46" w14:paraId="0001F97D" w14:textId="77777777" w:rsidTr="00507B46">
        <w:tc>
          <w:tcPr>
            <w:tcW w:w="10138" w:type="dxa"/>
            <w:hideMark/>
          </w:tcPr>
          <w:p w14:paraId="67F0127B" w14:textId="77777777" w:rsidR="00507B46" w:rsidRDefault="00507B46">
            <w:pPr>
              <w:spacing w:line="276" w:lineRule="auto"/>
              <w:jc w:val="center"/>
              <w:rPr>
                <w:sz w:val="28"/>
                <w:szCs w:val="28"/>
                <w:lang w:eastAsia="en-US"/>
              </w:rPr>
            </w:pPr>
            <w:r>
              <w:rPr>
                <w:sz w:val="28"/>
                <w:szCs w:val="28"/>
                <w:lang w:eastAsia="en-US"/>
              </w:rPr>
              <w:t>для студентов специальности/направления подготовки</w:t>
            </w:r>
          </w:p>
        </w:tc>
      </w:tr>
      <w:tr w:rsidR="00507B46" w14:paraId="5EB0DD3B" w14:textId="77777777" w:rsidTr="00507B46">
        <w:tc>
          <w:tcPr>
            <w:tcW w:w="9571" w:type="dxa"/>
          </w:tcPr>
          <w:p w14:paraId="66CCED1A" w14:textId="77777777" w:rsidR="00507B46" w:rsidRDefault="00507B46">
            <w:pPr>
              <w:spacing w:line="276" w:lineRule="auto"/>
              <w:rPr>
                <w:sz w:val="28"/>
                <w:szCs w:val="28"/>
                <w:lang w:eastAsia="en-US"/>
              </w:rPr>
            </w:pPr>
          </w:p>
        </w:tc>
      </w:tr>
      <w:tr w:rsidR="00507B46" w14:paraId="7A0E580C" w14:textId="77777777" w:rsidTr="00507B46">
        <w:tc>
          <w:tcPr>
            <w:tcW w:w="9571" w:type="dxa"/>
            <w:tcBorders>
              <w:top w:val="nil"/>
              <w:left w:val="nil"/>
              <w:bottom w:val="single" w:sz="4" w:space="0" w:color="auto"/>
              <w:right w:val="nil"/>
            </w:tcBorders>
            <w:hideMark/>
          </w:tcPr>
          <w:p w14:paraId="4223FF85" w14:textId="77777777" w:rsidR="00507B46" w:rsidRDefault="00507B46">
            <w:pPr>
              <w:spacing w:line="276" w:lineRule="auto"/>
              <w:jc w:val="center"/>
              <w:rPr>
                <w:b/>
                <w:sz w:val="28"/>
                <w:szCs w:val="28"/>
                <w:lang w:eastAsia="en-US"/>
              </w:rPr>
            </w:pPr>
            <w:r>
              <w:rPr>
                <w:b/>
                <w:sz w:val="28"/>
                <w:szCs w:val="28"/>
                <w:lang w:eastAsia="en-US"/>
              </w:rPr>
              <w:t>04.04.02 – Химия, физика и механика материалов</w:t>
            </w:r>
          </w:p>
        </w:tc>
      </w:tr>
      <w:tr w:rsidR="00507B46" w14:paraId="32F7BD3D" w14:textId="77777777" w:rsidTr="00507B46">
        <w:tc>
          <w:tcPr>
            <w:tcW w:w="9571" w:type="dxa"/>
            <w:tcBorders>
              <w:top w:val="single" w:sz="4" w:space="0" w:color="auto"/>
              <w:left w:val="nil"/>
              <w:bottom w:val="nil"/>
              <w:right w:val="nil"/>
            </w:tcBorders>
            <w:hideMark/>
          </w:tcPr>
          <w:p w14:paraId="1354B02F" w14:textId="77777777" w:rsidR="00507B46" w:rsidRDefault="00507B46">
            <w:pPr>
              <w:spacing w:line="276" w:lineRule="auto"/>
              <w:jc w:val="center"/>
              <w:rPr>
                <w:i/>
                <w:lang w:eastAsia="en-US"/>
              </w:rPr>
            </w:pPr>
            <w:r>
              <w:rPr>
                <w:i/>
                <w:lang w:eastAsia="en-US"/>
              </w:rPr>
              <w:t>Шифр, название специальности/направления подготовки</w:t>
            </w:r>
          </w:p>
        </w:tc>
      </w:tr>
      <w:tr w:rsidR="00507B46" w14:paraId="2046C527" w14:textId="77777777" w:rsidTr="00507B46">
        <w:tc>
          <w:tcPr>
            <w:tcW w:w="9571" w:type="dxa"/>
          </w:tcPr>
          <w:p w14:paraId="65238F8B" w14:textId="77777777" w:rsidR="00507B46" w:rsidRDefault="00507B46">
            <w:pPr>
              <w:spacing w:line="276" w:lineRule="auto"/>
              <w:jc w:val="center"/>
              <w:rPr>
                <w:i/>
                <w:sz w:val="24"/>
                <w:szCs w:val="24"/>
                <w:lang w:eastAsia="en-US"/>
              </w:rPr>
            </w:pPr>
          </w:p>
        </w:tc>
      </w:tr>
      <w:tr w:rsidR="00507B46" w14:paraId="47096F22" w14:textId="77777777" w:rsidTr="00507B46">
        <w:tc>
          <w:tcPr>
            <w:tcW w:w="9571" w:type="dxa"/>
          </w:tcPr>
          <w:p w14:paraId="56063418" w14:textId="77777777" w:rsidR="00507B46" w:rsidRDefault="00507B46">
            <w:pPr>
              <w:spacing w:line="276" w:lineRule="auto"/>
              <w:jc w:val="center"/>
              <w:rPr>
                <w:i/>
                <w:sz w:val="28"/>
                <w:szCs w:val="28"/>
                <w:lang w:eastAsia="en-US"/>
              </w:rPr>
            </w:pPr>
          </w:p>
        </w:tc>
      </w:tr>
      <w:tr w:rsidR="00507B46" w14:paraId="2AF9C24A" w14:textId="77777777" w:rsidTr="00507B46">
        <w:tc>
          <w:tcPr>
            <w:tcW w:w="9571" w:type="dxa"/>
            <w:hideMark/>
          </w:tcPr>
          <w:p w14:paraId="4FF95334" w14:textId="77777777" w:rsidR="00507B46" w:rsidRDefault="00507B46">
            <w:pPr>
              <w:spacing w:line="276" w:lineRule="auto"/>
              <w:jc w:val="center"/>
              <w:rPr>
                <w:sz w:val="28"/>
                <w:szCs w:val="28"/>
                <w:lang w:eastAsia="en-US"/>
              </w:rPr>
            </w:pPr>
            <w:r>
              <w:rPr>
                <w:sz w:val="28"/>
                <w:szCs w:val="28"/>
                <w:lang w:eastAsia="en-US"/>
              </w:rPr>
              <w:t>специализации/профиля</w:t>
            </w:r>
          </w:p>
        </w:tc>
      </w:tr>
      <w:tr w:rsidR="00507B46" w14:paraId="603B7379" w14:textId="77777777" w:rsidTr="00507B46">
        <w:tc>
          <w:tcPr>
            <w:tcW w:w="9571" w:type="dxa"/>
            <w:tcBorders>
              <w:top w:val="nil"/>
              <w:left w:val="nil"/>
              <w:bottom w:val="single" w:sz="4" w:space="0" w:color="auto"/>
              <w:right w:val="nil"/>
            </w:tcBorders>
            <w:hideMark/>
          </w:tcPr>
          <w:p w14:paraId="4A9F66E6" w14:textId="77777777" w:rsidR="00507B46" w:rsidRDefault="00507B46">
            <w:pPr>
              <w:spacing w:line="276" w:lineRule="auto"/>
              <w:jc w:val="center"/>
              <w:rPr>
                <w:i/>
                <w:sz w:val="28"/>
                <w:szCs w:val="28"/>
                <w:lang w:eastAsia="en-US"/>
              </w:rPr>
            </w:pPr>
            <w:r>
              <w:rPr>
                <w:i/>
                <w:sz w:val="28"/>
                <w:szCs w:val="28"/>
                <w:lang w:eastAsia="en-US"/>
              </w:rPr>
              <w:t>Фармацевтическое и радиофармацевтическое материаловедение</w:t>
            </w:r>
          </w:p>
        </w:tc>
      </w:tr>
      <w:tr w:rsidR="00507B46" w14:paraId="50F1DEDF" w14:textId="77777777" w:rsidTr="00507B46">
        <w:tc>
          <w:tcPr>
            <w:tcW w:w="9571" w:type="dxa"/>
            <w:tcBorders>
              <w:top w:val="single" w:sz="4" w:space="0" w:color="auto"/>
              <w:left w:val="nil"/>
              <w:bottom w:val="nil"/>
              <w:right w:val="nil"/>
            </w:tcBorders>
            <w:hideMark/>
          </w:tcPr>
          <w:p w14:paraId="63C9D4B4" w14:textId="77777777" w:rsidR="00507B46" w:rsidRDefault="00507B46">
            <w:pPr>
              <w:spacing w:line="276" w:lineRule="auto"/>
              <w:jc w:val="center"/>
              <w:rPr>
                <w:i/>
                <w:sz w:val="24"/>
                <w:szCs w:val="24"/>
                <w:lang w:eastAsia="en-US"/>
              </w:rPr>
            </w:pPr>
            <w:r>
              <w:rPr>
                <w:i/>
                <w:lang w:eastAsia="en-US"/>
              </w:rPr>
              <w:t>Шифр, название специализации/профиля</w:t>
            </w:r>
          </w:p>
        </w:tc>
      </w:tr>
      <w:tr w:rsidR="00507B46" w14:paraId="1BB04A0C" w14:textId="77777777" w:rsidTr="00507B46">
        <w:tc>
          <w:tcPr>
            <w:tcW w:w="9571" w:type="dxa"/>
          </w:tcPr>
          <w:p w14:paraId="69FFF6E9" w14:textId="77777777" w:rsidR="00507B46" w:rsidRDefault="00507B46">
            <w:pPr>
              <w:spacing w:line="276" w:lineRule="auto"/>
              <w:jc w:val="center"/>
              <w:rPr>
                <w:i/>
                <w:sz w:val="24"/>
                <w:szCs w:val="24"/>
                <w:lang w:eastAsia="en-US"/>
              </w:rPr>
            </w:pPr>
          </w:p>
        </w:tc>
      </w:tr>
      <w:tr w:rsidR="00507B46" w14:paraId="34539281" w14:textId="77777777" w:rsidTr="00507B46">
        <w:tc>
          <w:tcPr>
            <w:tcW w:w="9571" w:type="dxa"/>
          </w:tcPr>
          <w:p w14:paraId="55157C6F" w14:textId="77777777" w:rsidR="00507B46" w:rsidRDefault="00507B46">
            <w:pPr>
              <w:spacing w:line="276" w:lineRule="auto"/>
              <w:jc w:val="center"/>
              <w:rPr>
                <w:i/>
                <w:sz w:val="28"/>
                <w:szCs w:val="28"/>
                <w:lang w:eastAsia="en-US"/>
              </w:rPr>
            </w:pPr>
          </w:p>
        </w:tc>
      </w:tr>
      <w:tr w:rsidR="00507B46" w14:paraId="723C8CC2" w14:textId="77777777" w:rsidTr="00507B46">
        <w:tc>
          <w:tcPr>
            <w:tcW w:w="9571" w:type="dxa"/>
            <w:hideMark/>
          </w:tcPr>
          <w:p w14:paraId="05283316" w14:textId="77777777" w:rsidR="00507B46" w:rsidRDefault="00507B46">
            <w:pPr>
              <w:spacing w:line="276" w:lineRule="auto"/>
              <w:jc w:val="center"/>
              <w:rPr>
                <w:sz w:val="28"/>
                <w:szCs w:val="28"/>
                <w:lang w:eastAsia="en-US"/>
              </w:rPr>
            </w:pPr>
            <w:r>
              <w:rPr>
                <w:sz w:val="28"/>
                <w:szCs w:val="28"/>
                <w:lang w:eastAsia="en-US"/>
              </w:rPr>
              <w:t xml:space="preserve">Форма обучения: </w:t>
            </w:r>
            <w:r>
              <w:rPr>
                <w:b/>
                <w:sz w:val="28"/>
                <w:szCs w:val="28"/>
                <w:lang w:eastAsia="en-US"/>
              </w:rPr>
              <w:t>очная</w:t>
            </w:r>
          </w:p>
        </w:tc>
      </w:tr>
    </w:tbl>
    <w:p w14:paraId="17F0F068" w14:textId="77777777" w:rsidR="00507B46" w:rsidRDefault="00507B46" w:rsidP="00507B46">
      <w:pPr>
        <w:jc w:val="center"/>
        <w:rPr>
          <w:sz w:val="28"/>
          <w:szCs w:val="28"/>
        </w:rPr>
      </w:pPr>
    </w:p>
    <w:p w14:paraId="11437810" w14:textId="77777777" w:rsidR="00507B46" w:rsidRDefault="00507B46" w:rsidP="00507B46">
      <w:pPr>
        <w:jc w:val="center"/>
        <w:rPr>
          <w:sz w:val="28"/>
          <w:szCs w:val="28"/>
        </w:rPr>
      </w:pPr>
    </w:p>
    <w:p w14:paraId="6461ACB7" w14:textId="77777777" w:rsidR="00507B46" w:rsidRDefault="00507B46" w:rsidP="00507B46">
      <w:pPr>
        <w:jc w:val="center"/>
        <w:rPr>
          <w:sz w:val="28"/>
          <w:szCs w:val="28"/>
        </w:rPr>
      </w:pPr>
    </w:p>
    <w:p w14:paraId="6D6665AD" w14:textId="77777777" w:rsidR="00507B46" w:rsidRDefault="00507B46" w:rsidP="00507B46">
      <w:pPr>
        <w:jc w:val="center"/>
        <w:rPr>
          <w:sz w:val="28"/>
          <w:szCs w:val="28"/>
        </w:rPr>
      </w:pPr>
    </w:p>
    <w:p w14:paraId="5F1490AB" w14:textId="77777777" w:rsidR="00923424" w:rsidRDefault="00923424" w:rsidP="00507B46">
      <w:pPr>
        <w:autoSpaceDE w:val="0"/>
        <w:autoSpaceDN w:val="0"/>
        <w:adjustRightInd w:val="0"/>
        <w:rPr>
          <w:b/>
          <w:bCs/>
          <w:sz w:val="24"/>
          <w:szCs w:val="24"/>
        </w:rPr>
      </w:pPr>
    </w:p>
    <w:p w14:paraId="13ED7D5F" w14:textId="38959F7F" w:rsidR="00507B46" w:rsidRDefault="00507B46" w:rsidP="00507B46">
      <w:pPr>
        <w:autoSpaceDE w:val="0"/>
        <w:autoSpaceDN w:val="0"/>
        <w:adjustRightInd w:val="0"/>
        <w:rPr>
          <w:b/>
          <w:bCs/>
          <w:sz w:val="24"/>
          <w:szCs w:val="24"/>
        </w:rPr>
      </w:pPr>
      <w:bookmarkStart w:id="2" w:name="_GoBack"/>
      <w:bookmarkEnd w:id="2"/>
      <w:r>
        <w:rPr>
          <w:b/>
          <w:bCs/>
          <w:sz w:val="24"/>
          <w:szCs w:val="24"/>
        </w:rPr>
        <w:lastRenderedPageBreak/>
        <w:t>1. Перечень тем для подготовки к клиническим практическим (лабораторным) занятиям</w:t>
      </w:r>
    </w:p>
    <w:p w14:paraId="18EF6ECB" w14:textId="77777777" w:rsidR="00507B46" w:rsidRDefault="00507B46" w:rsidP="00507B46">
      <w:pPr>
        <w:pStyle w:val="Style20"/>
        <w:widowControl/>
        <w:spacing w:line="240" w:lineRule="auto"/>
        <w:rPr>
          <w:rStyle w:val="FontStyle134"/>
          <w:i/>
        </w:rPr>
      </w:pPr>
    </w:p>
    <w:tbl>
      <w:tblPr>
        <w:tblW w:w="9780" w:type="dxa"/>
        <w:tblInd w:w="40" w:type="dxa"/>
        <w:tblLayout w:type="fixed"/>
        <w:tblCellMar>
          <w:left w:w="40" w:type="dxa"/>
          <w:right w:w="40" w:type="dxa"/>
        </w:tblCellMar>
        <w:tblLook w:val="04A0" w:firstRow="1" w:lastRow="0" w:firstColumn="1" w:lastColumn="0" w:noHBand="0" w:noVBand="1"/>
      </w:tblPr>
      <w:tblGrid>
        <w:gridCol w:w="685"/>
        <w:gridCol w:w="23"/>
        <w:gridCol w:w="3118"/>
        <w:gridCol w:w="5954"/>
      </w:tblGrid>
      <w:tr w:rsidR="00507B46" w14:paraId="5387B5E6" w14:textId="77777777" w:rsidTr="00507B46">
        <w:tc>
          <w:tcPr>
            <w:tcW w:w="686" w:type="dxa"/>
            <w:tcBorders>
              <w:top w:val="single" w:sz="6" w:space="0" w:color="auto"/>
              <w:left w:val="single" w:sz="6" w:space="0" w:color="auto"/>
              <w:bottom w:val="single" w:sz="6" w:space="0" w:color="auto"/>
              <w:right w:val="single" w:sz="6" w:space="0" w:color="auto"/>
            </w:tcBorders>
            <w:vAlign w:val="center"/>
            <w:hideMark/>
          </w:tcPr>
          <w:p w14:paraId="347A2DF3" w14:textId="77777777" w:rsidR="00507B46" w:rsidRDefault="00507B46">
            <w:pPr>
              <w:pStyle w:val="Style88"/>
              <w:widowControl/>
              <w:spacing w:line="240" w:lineRule="auto"/>
              <w:jc w:val="left"/>
              <w:rPr>
                <w:rStyle w:val="FontStyle134"/>
                <w:rFonts w:eastAsiaTheme="minorEastAsia"/>
                <w:lang w:eastAsia="en-US"/>
              </w:rPr>
            </w:pPr>
            <w:r>
              <w:rPr>
                <w:rStyle w:val="FontStyle134"/>
                <w:rFonts w:eastAsiaTheme="minorEastAsia"/>
                <w:lang w:eastAsia="en-US"/>
              </w:rPr>
              <w:t>№</w:t>
            </w:r>
          </w:p>
        </w:tc>
        <w:tc>
          <w:tcPr>
            <w:tcW w:w="3142" w:type="dxa"/>
            <w:gridSpan w:val="2"/>
            <w:tcBorders>
              <w:top w:val="single" w:sz="6" w:space="0" w:color="auto"/>
              <w:left w:val="single" w:sz="6" w:space="0" w:color="auto"/>
              <w:bottom w:val="single" w:sz="6" w:space="0" w:color="auto"/>
              <w:right w:val="single" w:sz="6" w:space="0" w:color="auto"/>
            </w:tcBorders>
            <w:vAlign w:val="center"/>
            <w:hideMark/>
          </w:tcPr>
          <w:p w14:paraId="4E4192B3"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44A5CB8C"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Содержание</w:t>
            </w:r>
          </w:p>
          <w:p w14:paraId="277E90A1" w14:textId="77777777" w:rsidR="00507B46" w:rsidRDefault="00507B46">
            <w:pPr>
              <w:pStyle w:val="Style88"/>
              <w:widowControl/>
              <w:spacing w:line="240" w:lineRule="auto"/>
              <w:jc w:val="center"/>
              <w:rPr>
                <w:rStyle w:val="FontStyle134"/>
                <w:rFonts w:eastAsiaTheme="minorEastAsia"/>
                <w:lang w:eastAsia="en-US"/>
              </w:rPr>
            </w:pPr>
          </w:p>
          <w:p w14:paraId="3D7F3101" w14:textId="77777777" w:rsidR="00507B46" w:rsidRDefault="00507B46">
            <w:pPr>
              <w:pStyle w:val="Style88"/>
              <w:widowControl/>
              <w:spacing w:line="240" w:lineRule="auto"/>
              <w:jc w:val="center"/>
              <w:rPr>
                <w:rStyle w:val="FontStyle134"/>
                <w:rFonts w:eastAsiaTheme="minorEastAsia"/>
                <w:lang w:eastAsia="en-US"/>
              </w:rPr>
            </w:pPr>
          </w:p>
        </w:tc>
      </w:tr>
      <w:tr w:rsidR="00507B46" w14:paraId="08DD1E6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85A1DC9"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4356AB4" w14:textId="77777777" w:rsidR="00507B46" w:rsidRDefault="00507B46">
            <w:pPr>
              <w:pStyle w:val="Style88"/>
              <w:widowControl/>
              <w:spacing w:line="240" w:lineRule="auto"/>
              <w:jc w:val="left"/>
              <w:rPr>
                <w:rStyle w:val="FontStyle134"/>
                <w:rFonts w:eastAsiaTheme="minorEastAsia"/>
              </w:rPr>
            </w:pPr>
            <w:r>
              <w:rPr>
                <w:rStyle w:val="FontStyle134"/>
                <w:lang w:eastAsia="en-US"/>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hideMark/>
          </w:tcPr>
          <w:p w14:paraId="204B6E8F" w14:textId="77777777" w:rsidR="00507B46" w:rsidRDefault="00507B46">
            <w:pPr>
              <w:pStyle w:val="Style74"/>
              <w:widowControl/>
              <w:spacing w:line="276" w:lineRule="auto"/>
              <w:rPr>
                <w:rFonts w:eastAsiaTheme="minorEastAsia"/>
              </w:rPr>
            </w:pPr>
            <w:r>
              <w:rPr>
                <w:rStyle w:val="FontStyle134"/>
                <w:lang w:eastAsia="en-US"/>
              </w:rPr>
              <w:t>Гликолиз, декарбоксилирование пирувата и цикл Кребса как пример биохимического каскада. Ферменты, активный центр, нативная конформация. Аллостерическая регуляция. Фосфорилирование - дефосфорилирование как основной механизм временной активации или дезактивации ферментов. Уравнение Михаэлиса. Линеаризация кинетических кривых для разных случаев (конкурентного, неконкурентного) ингибирования ферментов.</w:t>
            </w:r>
          </w:p>
        </w:tc>
      </w:tr>
      <w:tr w:rsidR="00507B46" w14:paraId="15CF8701"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5E3D63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309EE24A" w14:textId="77777777" w:rsidR="00507B46" w:rsidRDefault="00507B46">
            <w:pPr>
              <w:pStyle w:val="Style74"/>
              <w:widowControl/>
              <w:spacing w:line="276" w:lineRule="auto"/>
              <w:rPr>
                <w:rFonts w:eastAsiaTheme="minorEastAsia"/>
              </w:rPr>
            </w:pPr>
            <w:r>
              <w:rPr>
                <w:rStyle w:val="FontStyle134"/>
                <w:lang w:eastAsia="en-US"/>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hideMark/>
          </w:tcPr>
          <w:p w14:paraId="5A5BFB96" w14:textId="77777777" w:rsidR="00507B46" w:rsidRDefault="00507B46">
            <w:pPr>
              <w:pStyle w:val="Style74"/>
              <w:widowControl/>
              <w:spacing w:line="276" w:lineRule="auto"/>
              <w:rPr>
                <w:rFonts w:eastAsiaTheme="minorEastAsia"/>
                <w:b/>
                <w:bCs/>
                <w:lang w:eastAsia="en-US"/>
              </w:rPr>
            </w:pPr>
            <w:r>
              <w:rPr>
                <w:rStyle w:val="FontStyle134"/>
                <w:lang w:eastAsia="en-US"/>
              </w:rPr>
              <w:t>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конформации. Механизм действия сериновой протеазы, металлопротеазы и холинэстеразы как пример работы активного центра фермента. Субстратная специфичность ферментов.</w:t>
            </w:r>
          </w:p>
        </w:tc>
      </w:tr>
      <w:tr w:rsidR="00507B46" w14:paraId="3E7EF32C"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57AFF3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A9DB041" w14:textId="77777777" w:rsidR="00507B46" w:rsidRDefault="00507B46">
            <w:pPr>
              <w:pStyle w:val="Style74"/>
              <w:widowControl/>
              <w:spacing w:line="276" w:lineRule="auto"/>
            </w:pPr>
            <w:r>
              <w:rPr>
                <w:b/>
                <w:bCs/>
                <w:lang w:eastAsia="en-U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hideMark/>
          </w:tcPr>
          <w:p w14:paraId="3E7F8E32" w14:textId="77777777" w:rsidR="00507B46" w:rsidRDefault="00507B46">
            <w:pPr>
              <w:pStyle w:val="Style74"/>
              <w:widowControl/>
              <w:spacing w:line="276" w:lineRule="auto"/>
              <w:rPr>
                <w:rFonts w:eastAsiaTheme="minorEastAsia"/>
                <w:b/>
                <w:lang w:eastAsia="en-US"/>
              </w:rPr>
            </w:pPr>
            <w:r>
              <w:rPr>
                <w:rStyle w:val="FontStyle134"/>
                <w:lang w:eastAsia="en-US"/>
              </w:rPr>
              <w:t xml:space="preserve">Системы обмена информацией в многоклеточных организмах – эндокринная, паракринная,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Pr>
                <w:rStyle w:val="FontStyle134"/>
                <w:lang w:val="en-US" w:eastAsia="en-US"/>
              </w:rPr>
              <w:t>G</w:t>
            </w:r>
            <w:r>
              <w:rPr>
                <w:rStyle w:val="FontStyle134"/>
                <w:lang w:eastAsia="en-US"/>
              </w:rPr>
              <w:t>-белки, транскрипционные факторы. Функционирование рецепторного каскада на примере адренорецептора. Вторичные посредники – АМФ, кальций, инозитолдифосфат,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507B46" w14:paraId="74FC4AE3"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743C51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DEDB31D" w14:textId="77777777" w:rsidR="00507B46" w:rsidRDefault="00507B46">
            <w:pPr>
              <w:pStyle w:val="Style74"/>
              <w:widowControl/>
              <w:spacing w:line="276" w:lineRule="auto"/>
            </w:pPr>
            <w:r>
              <w:rPr>
                <w:rStyle w:val="FontStyle134"/>
                <w:lang w:eastAsia="en-US"/>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hideMark/>
          </w:tcPr>
          <w:p w14:paraId="52FD479C" w14:textId="77777777" w:rsidR="00507B46" w:rsidRDefault="00507B46">
            <w:pPr>
              <w:widowControl/>
              <w:spacing w:line="276" w:lineRule="auto"/>
              <w:rPr>
                <w:rStyle w:val="FontStyle134"/>
                <w:b w:val="0"/>
                <w:bCs w:val="0"/>
                <w:sz w:val="24"/>
                <w:szCs w:val="24"/>
              </w:rPr>
            </w:pPr>
            <w:r>
              <w:rPr>
                <w:rStyle w:val="FontStyle134"/>
                <w:sz w:val="24"/>
                <w:szCs w:val="24"/>
                <w:lang w:eastAsia="en-US"/>
              </w:rPr>
              <w:t>Типы нековалентных взаимодействий в биологических системах. Активная конформация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59B1110C" w14:textId="77777777" w:rsidR="00507B46" w:rsidRDefault="00507B46">
            <w:pPr>
              <w:widowControl/>
              <w:spacing w:line="276" w:lineRule="auto"/>
              <w:rPr>
                <w:rStyle w:val="FontStyle134"/>
                <w:b w:val="0"/>
                <w:bCs w:val="0"/>
                <w:sz w:val="24"/>
                <w:szCs w:val="24"/>
                <w:lang w:eastAsia="en-US"/>
              </w:rPr>
            </w:pPr>
            <w:r>
              <w:rPr>
                <w:rStyle w:val="FontStyle134"/>
                <w:sz w:val="24"/>
                <w:szCs w:val="24"/>
                <w:lang w:eastAsia="en-US"/>
              </w:rPr>
              <w:t xml:space="preserve">Лиганды для рецепторов – агонисты, антагонисты, обратные агонисты, частичные агонисты. </w:t>
            </w:r>
            <w:r>
              <w:rPr>
                <w:rStyle w:val="FontStyle134"/>
                <w:sz w:val="24"/>
                <w:szCs w:val="24"/>
                <w:lang w:val="en-US" w:eastAsia="en-US"/>
              </w:rPr>
              <w:t>IC</w:t>
            </w:r>
            <w:r>
              <w:rPr>
                <w:rStyle w:val="FontStyle134"/>
                <w:sz w:val="24"/>
                <w:szCs w:val="24"/>
                <w:lang w:eastAsia="en-US"/>
              </w:rPr>
              <w:t xml:space="preserve">50 и </w:t>
            </w:r>
            <w:r>
              <w:rPr>
                <w:rStyle w:val="FontStyle134"/>
                <w:sz w:val="24"/>
                <w:szCs w:val="24"/>
                <w:lang w:val="en-US" w:eastAsia="en-US"/>
              </w:rPr>
              <w:t>EC</w:t>
            </w:r>
            <w:r>
              <w:rPr>
                <w:rStyle w:val="FontStyle134"/>
                <w:sz w:val="24"/>
                <w:szCs w:val="24"/>
                <w:lang w:eastAsia="en-US"/>
              </w:rPr>
              <w:t xml:space="preserve">50. Молярный диапазон концентраций, приемлемый для лекарственных средств. </w:t>
            </w:r>
          </w:p>
          <w:p w14:paraId="78E7F058" w14:textId="77777777" w:rsidR="00507B46" w:rsidRDefault="00507B46">
            <w:pPr>
              <w:pStyle w:val="Style74"/>
              <w:widowControl/>
              <w:spacing w:line="276" w:lineRule="auto"/>
              <w:rPr>
                <w:rFonts w:eastAsiaTheme="minorEastAsia"/>
                <w:b/>
              </w:rPr>
            </w:pPr>
            <w:r>
              <w:rPr>
                <w:rStyle w:val="FontStyle134"/>
                <w:lang w:eastAsia="en-US"/>
              </w:rPr>
              <w:t xml:space="preserve">Компьютерное моделирование лиганд-рецепторного взаимодействия. Молекулярная кинетика и </w:t>
            </w:r>
            <w:r>
              <w:rPr>
                <w:rStyle w:val="FontStyle134"/>
                <w:lang w:eastAsia="en-US"/>
              </w:rPr>
              <w:lastRenderedPageBreak/>
              <w:t xml:space="preserve">молекулярная динамика. Метод ЯМР для определения активной конформации белков. Карты распределения электронной плотности в молекуле. Недостатки моделирования </w:t>
            </w:r>
            <w:r>
              <w:rPr>
                <w:rStyle w:val="FontStyle134"/>
                <w:lang w:val="en-US" w:eastAsia="en-US"/>
              </w:rPr>
              <w:t>in silico</w:t>
            </w:r>
            <w:r>
              <w:rPr>
                <w:rStyle w:val="FontStyle134"/>
                <w:lang w:eastAsia="en-US"/>
              </w:rPr>
              <w:t>.</w:t>
            </w:r>
          </w:p>
        </w:tc>
      </w:tr>
      <w:tr w:rsidR="00507B46" w14:paraId="7FB453EA"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DD1EE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49B5F26B" w14:textId="77777777" w:rsidR="00507B46" w:rsidRDefault="00507B46">
            <w:pPr>
              <w:pStyle w:val="Style74"/>
              <w:widowControl/>
              <w:spacing w:line="276" w:lineRule="auto"/>
            </w:pPr>
            <w:r>
              <w:rPr>
                <w:rStyle w:val="FontStyle134"/>
                <w:lang w:eastAsia="en-US"/>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hideMark/>
          </w:tcPr>
          <w:p w14:paraId="6421CCA2" w14:textId="77777777" w:rsidR="00507B46" w:rsidRDefault="00507B46">
            <w:pPr>
              <w:pStyle w:val="Style74"/>
              <w:widowControl/>
              <w:spacing w:line="276" w:lineRule="auto"/>
              <w:rPr>
                <w:rFonts w:eastAsiaTheme="minorEastAsia"/>
                <w:b/>
                <w:lang w:eastAsia="en-US"/>
              </w:rPr>
            </w:pPr>
            <w:r>
              <w:rPr>
                <w:rStyle w:val="FontStyle134"/>
                <w:lang w:eastAsia="en-US"/>
              </w:rPr>
              <w:t>Биологическая среда как агрессивное окружение для органических молекул. Усвоение и распределение ФАВ по тканям организма. Основные пути нейтрализации ксенобиотиков - гидроксилирование (цитохромы), гликозилирование и гидролиз. Экскреция через почки и кишечник. Гидрофильно-липофильный баланс. Гематоэнцефалический барьер. Проникновение через клеточные мембраны – диффузия, эндоцитоз, активный транспорт. Фармакокинетика. Правила Липинского и другие статистические «правила» быстрой оценки перспективности молекулы для лекарственных целей.</w:t>
            </w:r>
          </w:p>
        </w:tc>
      </w:tr>
      <w:tr w:rsidR="00507B46" w14:paraId="7449DEB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44043BE2"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17A1AF3" w14:textId="77777777" w:rsidR="00507B46" w:rsidRDefault="00507B46">
            <w:pPr>
              <w:pStyle w:val="Style74"/>
              <w:widowControl/>
              <w:spacing w:line="276" w:lineRule="auto"/>
            </w:pPr>
            <w:r>
              <w:rPr>
                <w:b/>
                <w:bCs/>
                <w:lang w:eastAsia="en-U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468D1E9" w14:textId="77777777" w:rsidR="00507B46" w:rsidRDefault="00507B46">
            <w:pPr>
              <w:pStyle w:val="Style74"/>
              <w:widowControl/>
              <w:spacing w:line="276" w:lineRule="auto"/>
              <w:rPr>
                <w:rFonts w:eastAsiaTheme="minorEastAsia"/>
                <w:b/>
                <w:bCs/>
                <w:lang w:eastAsia="en-US"/>
              </w:rPr>
            </w:pPr>
            <w:r>
              <w:rPr>
                <w:rStyle w:val="FontStyle134"/>
                <w:lang w:eastAsia="en-US"/>
              </w:rPr>
              <w:t>Фермент-субстратная специфичность. Структура конкурентного ингибитора. Специфичность и селективность лигандов по различным изоформам одного и того же класса ферментов, либо одного фермента (в разных организмах). Кофермент-подобные лиганды и лиганды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507B46" w14:paraId="5975F5E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0F2E5A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1622924" w14:textId="77777777" w:rsidR="00507B46" w:rsidRDefault="00507B46">
            <w:pPr>
              <w:pStyle w:val="Style74"/>
              <w:widowControl/>
              <w:spacing w:line="276" w:lineRule="auto"/>
            </w:pPr>
            <w:r>
              <w:rPr>
                <w:rStyle w:val="FontStyle134"/>
                <w:lang w:eastAsia="en-US"/>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DD11740" w14:textId="77777777" w:rsidR="00507B46" w:rsidRDefault="00507B46">
            <w:pPr>
              <w:pStyle w:val="Style74"/>
              <w:widowControl/>
              <w:spacing w:line="276" w:lineRule="auto"/>
              <w:rPr>
                <w:rFonts w:eastAsiaTheme="minorEastAsia"/>
                <w:b/>
                <w:lang w:eastAsia="en-US"/>
              </w:rPr>
            </w:pPr>
            <w:r>
              <w:rPr>
                <w:rStyle w:val="FontStyle134"/>
                <w:lang w:eastAsia="en-US"/>
              </w:rPr>
              <w:t>Различия между лигандами рецепторов и ферментов. Различные пути инактивации рецепторов. Распределение по тканям как дополнительный фактор селективности  к различным рецепторам одного типа. Множественные лиганды. Передача сигнала в клетку. Нативные и искусственные лиганды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507B46" w14:paraId="3ADEEE94"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D6757F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20A574CC" w14:textId="77777777" w:rsidR="00507B46" w:rsidRDefault="00507B46">
            <w:pPr>
              <w:pStyle w:val="Style74"/>
              <w:widowControl/>
              <w:spacing w:line="276" w:lineRule="auto"/>
            </w:pPr>
            <w:r>
              <w:rPr>
                <w:rStyle w:val="FontStyle134"/>
                <w:lang w:eastAsia="en-US"/>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067E6B16" w14:textId="77777777" w:rsidR="00507B46" w:rsidRDefault="00507B46">
            <w:pPr>
              <w:pStyle w:val="Style74"/>
              <w:widowControl/>
              <w:spacing w:line="276" w:lineRule="auto"/>
              <w:rPr>
                <w:rFonts w:eastAsiaTheme="minorEastAsia"/>
                <w:lang w:eastAsia="en-US"/>
              </w:rPr>
            </w:pPr>
            <w:r>
              <w:rPr>
                <w:lang w:eastAsia="en-US"/>
              </w:rPr>
              <w:t>Малые интерферирующие РНК. Гистоновые белки и доступность участков ДНК для копирования. Свободнорадикальная деструкция нуклеиновых кислот. Димеризация ДНК и другие методы блокировки транскрипции.</w:t>
            </w:r>
          </w:p>
        </w:tc>
      </w:tr>
      <w:tr w:rsidR="00507B46" w14:paraId="37DF170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57377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9BABF97" w14:textId="77777777" w:rsidR="00507B46" w:rsidRDefault="00507B46">
            <w:pPr>
              <w:pStyle w:val="Style74"/>
              <w:widowControl/>
              <w:spacing w:line="276" w:lineRule="auto"/>
            </w:pPr>
            <w:r>
              <w:rPr>
                <w:rStyle w:val="FontStyle134"/>
                <w:lang w:eastAsia="en-US"/>
              </w:rPr>
              <w:t>Фармакокинетика, методы коррекции</w:t>
            </w:r>
          </w:p>
        </w:tc>
        <w:tc>
          <w:tcPr>
            <w:tcW w:w="5956" w:type="dxa"/>
            <w:tcBorders>
              <w:top w:val="single" w:sz="6" w:space="0" w:color="auto"/>
              <w:left w:val="single" w:sz="6" w:space="0" w:color="auto"/>
              <w:bottom w:val="single" w:sz="6" w:space="0" w:color="auto"/>
              <w:right w:val="single" w:sz="6" w:space="0" w:color="auto"/>
            </w:tcBorders>
            <w:hideMark/>
          </w:tcPr>
          <w:p w14:paraId="5C54AF8A" w14:textId="77777777" w:rsidR="00507B46" w:rsidRDefault="00507B46">
            <w:pPr>
              <w:pStyle w:val="Style74"/>
              <w:widowControl/>
              <w:spacing w:line="276" w:lineRule="auto"/>
              <w:rPr>
                <w:lang w:eastAsia="en-US"/>
              </w:rPr>
            </w:pPr>
            <w:r>
              <w:rPr>
                <w:lang w:eastAsia="en-US"/>
              </w:rPr>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Пролекарства. Активация ЛС метаболическими системами организма. Понижение стойкости ЛС в необходимых случаях. Межлекарственное взаимодействие как следствие </w:t>
            </w:r>
            <w:r>
              <w:rPr>
                <w:lang w:eastAsia="en-US"/>
              </w:rPr>
              <w:lastRenderedPageBreak/>
              <w:t>перекрестного ингибирования метаболизирующих ферментов.</w:t>
            </w:r>
          </w:p>
        </w:tc>
      </w:tr>
      <w:tr w:rsidR="00507B46" w14:paraId="55A6EC6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4823AF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31DA32D" w14:textId="77777777" w:rsidR="00507B46" w:rsidRDefault="00507B46">
            <w:pPr>
              <w:pStyle w:val="Style74"/>
              <w:widowControl/>
              <w:spacing w:line="276" w:lineRule="auto"/>
            </w:pPr>
            <w:r>
              <w:rPr>
                <w:rStyle w:val="FontStyle134"/>
                <w:lang w:eastAsia="en-US"/>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hideMark/>
          </w:tcPr>
          <w:p w14:paraId="7309AFB7" w14:textId="77777777" w:rsidR="00507B46" w:rsidRDefault="00507B46">
            <w:pPr>
              <w:pStyle w:val="Style74"/>
              <w:widowControl/>
              <w:spacing w:line="276" w:lineRule="auto"/>
              <w:rPr>
                <w:lang w:eastAsia="en-US"/>
              </w:rPr>
            </w:pPr>
            <w:r>
              <w:rPr>
                <w:lang w:eastAsia="en-US"/>
              </w:rPr>
              <w:t>Закрепление активной конформации молекулы ЛС. Организация дополнительных водородных связей и липофильных взаимодействий. Манипуляции с константами кислотности (основности)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увеличения (уменьшения) константы связывания и селективности ЛС в случаях сходства целевых макромолекул.</w:t>
            </w:r>
          </w:p>
        </w:tc>
      </w:tr>
      <w:tr w:rsidR="00507B46" w14:paraId="53109FE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7FC8EFA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A9DF21E" w14:textId="77777777" w:rsidR="00507B46" w:rsidRDefault="00507B46">
            <w:pPr>
              <w:pStyle w:val="Style74"/>
              <w:widowControl/>
              <w:spacing w:line="276" w:lineRule="auto"/>
            </w:pPr>
            <w:r>
              <w:rPr>
                <w:rStyle w:val="FontStyle134"/>
                <w:lang w:eastAsia="en-US"/>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hideMark/>
          </w:tcPr>
          <w:p w14:paraId="785E41D6" w14:textId="77777777" w:rsidR="00507B46" w:rsidRDefault="00507B46">
            <w:pPr>
              <w:pStyle w:val="Style74"/>
              <w:widowControl/>
              <w:spacing w:line="276" w:lineRule="auto"/>
              <w:rPr>
                <w:lang w:eastAsia="en-US"/>
              </w:rPr>
            </w:pPr>
            <w:r>
              <w:rPr>
                <w:lang w:eastAsia="en-US"/>
              </w:rPr>
              <w:t>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фармакокинетики.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507B46" w14:paraId="00E6078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3FD285BB"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A612E9A" w14:textId="77777777" w:rsidR="00507B46" w:rsidRDefault="00507B46">
            <w:pPr>
              <w:pStyle w:val="Style74"/>
              <w:widowControl/>
              <w:spacing w:line="276" w:lineRule="auto"/>
            </w:pPr>
            <w:r>
              <w:rPr>
                <w:rStyle w:val="FontStyle134"/>
                <w:lang w:eastAsia="en-US"/>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4D45915A" w14:textId="77777777" w:rsidR="00507B46" w:rsidRDefault="00507B46">
            <w:pPr>
              <w:pStyle w:val="Style74"/>
              <w:widowControl/>
              <w:spacing w:line="276" w:lineRule="auto"/>
              <w:rPr>
                <w:lang w:eastAsia="en-US"/>
              </w:rPr>
            </w:pPr>
            <w:r>
              <w:rPr>
                <w:lang w:eastAsia="en-US"/>
              </w:rPr>
              <w:t>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Бактериостатики и бактерициды. Источники начальных структур для поиска эффективных ЛС. Разработка фторхинолонов.</w:t>
            </w:r>
          </w:p>
        </w:tc>
      </w:tr>
      <w:tr w:rsidR="00507B46" w14:paraId="562F235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3BAC99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FD464A5" w14:textId="77777777" w:rsidR="00507B46" w:rsidRDefault="00507B46">
            <w:pPr>
              <w:pStyle w:val="Style74"/>
              <w:widowControl/>
              <w:spacing w:line="276" w:lineRule="auto"/>
            </w:pPr>
            <w:r>
              <w:rPr>
                <w:rStyle w:val="FontStyle134"/>
                <w:lang w:eastAsia="en-US"/>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1225FB87" w14:textId="77777777" w:rsidR="00507B46" w:rsidRDefault="00507B46">
            <w:pPr>
              <w:pStyle w:val="Style74"/>
              <w:widowControl/>
              <w:spacing w:line="276" w:lineRule="auto"/>
              <w:rPr>
                <w:lang w:eastAsia="en-US"/>
              </w:rPr>
            </w:pPr>
            <w:r>
              <w:rPr>
                <w:lang w:eastAsia="en-US"/>
              </w:rPr>
              <w:t>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транскриптаз.</w:t>
            </w:r>
          </w:p>
        </w:tc>
      </w:tr>
      <w:tr w:rsidR="00507B46" w14:paraId="61CD8A1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696C7EE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24D2EC7" w14:textId="77777777" w:rsidR="00507B46" w:rsidRDefault="00507B46">
            <w:pPr>
              <w:pStyle w:val="Style74"/>
              <w:widowControl/>
              <w:spacing w:line="276" w:lineRule="auto"/>
            </w:pPr>
            <w:r>
              <w:rPr>
                <w:rStyle w:val="FontStyle134"/>
                <w:lang w:eastAsia="en-US"/>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66082703" w14:textId="77777777" w:rsidR="00507B46" w:rsidRDefault="00507B46">
            <w:pPr>
              <w:pStyle w:val="Style74"/>
              <w:widowControl/>
              <w:spacing w:line="276" w:lineRule="auto"/>
              <w:rPr>
                <w:lang w:eastAsia="en-US"/>
              </w:rPr>
            </w:pPr>
            <w:r>
              <w:rPr>
                <w:lang w:eastAsia="en-US"/>
              </w:rPr>
              <w:t>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иматиниба.</w:t>
            </w:r>
          </w:p>
        </w:tc>
      </w:tr>
    </w:tbl>
    <w:p w14:paraId="25366ED7" w14:textId="77777777" w:rsidR="00507B46" w:rsidRDefault="00507B46" w:rsidP="00507B46">
      <w:pPr>
        <w:tabs>
          <w:tab w:val="num" w:pos="720"/>
        </w:tabs>
        <w:autoSpaceDE w:val="0"/>
        <w:autoSpaceDN w:val="0"/>
        <w:adjustRightInd w:val="0"/>
        <w:jc w:val="both"/>
        <w:rPr>
          <w:b/>
          <w:bCs/>
          <w:caps/>
          <w:sz w:val="24"/>
          <w:szCs w:val="24"/>
        </w:rPr>
      </w:pPr>
    </w:p>
    <w:p w14:paraId="3446FE94" w14:textId="77777777" w:rsidR="00507B46" w:rsidRDefault="00507B46" w:rsidP="00507B46">
      <w:pPr>
        <w:widowControl/>
        <w:autoSpaceDE w:val="0"/>
        <w:autoSpaceDN w:val="0"/>
        <w:adjustRightInd w:val="0"/>
        <w:ind w:firstLine="426"/>
        <w:rPr>
          <w:i/>
          <w:sz w:val="24"/>
          <w:szCs w:val="24"/>
        </w:rPr>
      </w:pPr>
      <w:r>
        <w:rPr>
          <w:i/>
          <w:sz w:val="24"/>
          <w:szCs w:val="24"/>
        </w:rPr>
        <w:t>Критерии оценивания/текущий контроль:</w:t>
      </w:r>
    </w:p>
    <w:p w14:paraId="22A150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отлично</w:t>
      </w:r>
      <w:r>
        <w:rPr>
          <w:bCs/>
          <w:sz w:val="24"/>
          <w:szCs w:val="24"/>
        </w:rPr>
        <w:t>» выставляется студенту, который:</w:t>
      </w:r>
    </w:p>
    <w:p w14:paraId="21A3BF8D"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литературы.</w:t>
      </w:r>
    </w:p>
    <w:p w14:paraId="21F849F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w:t>
      </w:r>
      <w:r>
        <w:rPr>
          <w:bCs/>
          <w:sz w:val="24"/>
          <w:szCs w:val="24"/>
        </w:rPr>
        <w:lastRenderedPageBreak/>
        <w:t>процесса на уровне целостного органа.</w:t>
      </w:r>
    </w:p>
    <w:p w14:paraId="4D3B0025"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6B815CB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правильно решать типовые задачи, владеет практическими навыками (в пределах программы).</w:t>
      </w:r>
    </w:p>
    <w:p w14:paraId="5CCF9B92"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39012DF"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хорошо</w:t>
      </w:r>
      <w:r>
        <w:rPr>
          <w:bCs/>
          <w:sz w:val="24"/>
          <w:szCs w:val="24"/>
        </w:rPr>
        <w:t>» – выставляется студенту, который:</w:t>
      </w:r>
    </w:p>
    <w:p w14:paraId="6930BEE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0E180E6B"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Излагает материал грамотным языком, владеет терминологией и символикой.</w:t>
      </w:r>
    </w:p>
    <w:p w14:paraId="4BEDCD5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Четко представляет взаимосвязи патогенеза болезни с клиникой.</w:t>
      </w:r>
    </w:p>
    <w:p w14:paraId="7CEADAAA"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Умеет правильно решать типовые задачи, интерпретировать данные физикального и инструментального обследования.</w:t>
      </w:r>
    </w:p>
    <w:p w14:paraId="58D3B31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4C89E1E7"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удовлетворительно</w:t>
      </w:r>
      <w:r>
        <w:rPr>
          <w:bCs/>
          <w:sz w:val="24"/>
          <w:szCs w:val="24"/>
        </w:rPr>
        <w:t>» выставляется студенту, который:</w:t>
      </w:r>
    </w:p>
    <w:p w14:paraId="60AC3A60"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4A485E73"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Овладел методическими вопросами, рассматриваемыми по курсу дисциплины.</w:t>
      </w:r>
    </w:p>
    <w:p w14:paraId="555C38FE"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Умеет в целом правильно решать типовые задачи, интерпретировать результаты инструментального обследования больного.</w:t>
      </w:r>
    </w:p>
    <w:p w14:paraId="4E035299"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708487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неудовлетворительно</w:t>
      </w:r>
      <w:r>
        <w:rPr>
          <w:bCs/>
          <w:sz w:val="24"/>
          <w:szCs w:val="24"/>
        </w:rPr>
        <w:t>» – выставляется студенту, который:</w:t>
      </w:r>
    </w:p>
    <w:p w14:paraId="2758DE97"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17601ADA"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Не владеет методологическими вопросами, рассматриваемыми в рамках курса дисциплины.</w:t>
      </w:r>
    </w:p>
    <w:p w14:paraId="5CF2E86C"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Плохо знает специальную терминологию.</w:t>
      </w:r>
    </w:p>
    <w:p w14:paraId="6DCB5F28"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Не умеет правильно оценить результаты лабораторных исследований.</w:t>
      </w:r>
    </w:p>
    <w:p w14:paraId="2E0E7F43" w14:textId="77777777" w:rsidR="00507B46" w:rsidRDefault="00507B46" w:rsidP="00507B46">
      <w:pPr>
        <w:tabs>
          <w:tab w:val="num" w:pos="720"/>
        </w:tabs>
        <w:autoSpaceDE w:val="0"/>
        <w:autoSpaceDN w:val="0"/>
        <w:adjustRightInd w:val="0"/>
        <w:jc w:val="both"/>
        <w:rPr>
          <w:bCs/>
          <w:caps/>
          <w:sz w:val="24"/>
          <w:szCs w:val="24"/>
        </w:rPr>
      </w:pPr>
    </w:p>
    <w:bookmarkEnd w:id="1"/>
    <w:p w14:paraId="7D34FF62" w14:textId="77777777" w:rsidR="00507B46" w:rsidRDefault="00507B46" w:rsidP="00507B46">
      <w:pPr>
        <w:pStyle w:val="Style5"/>
        <w:widowControl/>
        <w:rPr>
          <w:rStyle w:val="FontStyle141"/>
        </w:rPr>
      </w:pPr>
      <w:r>
        <w:rPr>
          <w:rStyle w:val="FontStyle141"/>
        </w:rPr>
        <w:t>4.</w:t>
      </w:r>
      <w:r>
        <w:rPr>
          <w:b/>
          <w:bCs/>
          <w:iCs/>
        </w:rPr>
        <w:t>Типовые контрольные задания или иные материалы, необходимые для оценки знаний, умений, навыков</w:t>
      </w:r>
    </w:p>
    <w:p w14:paraId="75364ED4" w14:textId="77777777" w:rsidR="00507B46" w:rsidRDefault="00507B46" w:rsidP="00507B46">
      <w:pPr>
        <w:pStyle w:val="Style5"/>
        <w:widowControl/>
        <w:rPr>
          <w:rStyle w:val="FontStyle141"/>
          <w:b w:val="0"/>
          <w:i w:val="0"/>
        </w:rPr>
      </w:pPr>
    </w:p>
    <w:p w14:paraId="3F7B2183" w14:textId="77777777" w:rsidR="00507B46" w:rsidRDefault="00507B46" w:rsidP="00507B46">
      <w:pPr>
        <w:rPr>
          <w:b/>
          <w:sz w:val="24"/>
          <w:szCs w:val="24"/>
        </w:rPr>
      </w:pPr>
      <w:r>
        <w:rPr>
          <w:b/>
          <w:i/>
          <w:sz w:val="24"/>
          <w:szCs w:val="24"/>
        </w:rPr>
        <w:t>4.1.1</w:t>
      </w:r>
      <w:r>
        <w:rPr>
          <w:sz w:val="24"/>
          <w:szCs w:val="24"/>
        </w:rPr>
        <w:t xml:space="preserve"> </w:t>
      </w:r>
      <w:r>
        <w:rPr>
          <w:b/>
          <w:bCs/>
          <w:sz w:val="24"/>
          <w:szCs w:val="24"/>
        </w:rPr>
        <w:t>Коллоквиум</w:t>
      </w:r>
    </w:p>
    <w:p w14:paraId="71C17A39" w14:textId="77777777" w:rsidR="00507B46" w:rsidRDefault="00507B46" w:rsidP="00507B46">
      <w:pPr>
        <w:pStyle w:val="Style7"/>
        <w:widowControl/>
        <w:tabs>
          <w:tab w:val="left" w:pos="350"/>
        </w:tabs>
        <w:ind w:left="350"/>
        <w:rPr>
          <w:rStyle w:val="FontStyle137"/>
        </w:rPr>
      </w:pPr>
    </w:p>
    <w:p w14:paraId="267AE288" w14:textId="77777777" w:rsidR="00507B46" w:rsidRDefault="00507B46" w:rsidP="00507B46">
      <w:pPr>
        <w:pStyle w:val="Style7"/>
        <w:widowControl/>
        <w:tabs>
          <w:tab w:val="left" w:pos="350"/>
        </w:tabs>
        <w:ind w:left="350"/>
      </w:pPr>
      <w:r>
        <w:rPr>
          <w:rStyle w:val="FontStyle137"/>
        </w:rPr>
        <w:t>а)</w:t>
      </w:r>
      <w:r>
        <w:rPr>
          <w:rStyle w:val="FontStyle137"/>
        </w:rPr>
        <w:tab/>
        <w:t>типовые задания (вопросы):</w:t>
      </w:r>
    </w:p>
    <w:p w14:paraId="53513EC4" w14:textId="77777777" w:rsidR="00507B46" w:rsidRDefault="00507B46" w:rsidP="00507B46">
      <w:pPr>
        <w:pStyle w:val="Style7"/>
        <w:widowControl/>
        <w:tabs>
          <w:tab w:val="left" w:pos="350"/>
        </w:tabs>
        <w:ind w:left="350"/>
        <w:rPr>
          <w:rStyle w:val="FontStyle137"/>
        </w:rPr>
      </w:pPr>
    </w:p>
    <w:p w14:paraId="6EE1CA5B"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основные этапы разработки ЛС в 40-е годы 20-го века</w:t>
      </w:r>
    </w:p>
    <w:p w14:paraId="671CE72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все имеющиеся стратегии генерации структур ЛС</w:t>
      </w:r>
    </w:p>
    <w:p w14:paraId="5ADC211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преимущества и недостатки различных подходов к разработке ЛС</w:t>
      </w:r>
    </w:p>
    <w:p w14:paraId="49EDBD4E"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Влияние посторонних факторов (не относящихся к биологии) на процесс создания ЛС</w:t>
      </w:r>
    </w:p>
    <w:p w14:paraId="4084264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историю разработки омепразола</w:t>
      </w:r>
    </w:p>
    <w:p w14:paraId="28BDAD4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историю разработки циметидина</w:t>
      </w:r>
    </w:p>
    <w:p w14:paraId="0FACCF0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Показать на примере иматиниба процесс генерации структуры ЛС из результатов компьютерного моделирования</w:t>
      </w:r>
    </w:p>
    <w:p w14:paraId="738E809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историю разработки первых блокаторов АПФ (каптоприл)</w:t>
      </w:r>
    </w:p>
    <w:p w14:paraId="3CE87DF8"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На основе заданного фрагмента (каптоприл) сгенерировать фокусированную библиотеку соединений для скрининга (виртуально)</w:t>
      </w:r>
    </w:p>
    <w:p w14:paraId="3E356DD5" w14:textId="77777777" w:rsidR="00507B46" w:rsidRDefault="00507B46" w:rsidP="00507B46">
      <w:pPr>
        <w:pStyle w:val="Style23"/>
        <w:widowControl/>
        <w:numPr>
          <w:ilvl w:val="0"/>
          <w:numId w:val="30"/>
        </w:numPr>
        <w:rPr>
          <w:rStyle w:val="FontStyle134"/>
          <w:b w:val="0"/>
          <w:bCs w:val="0"/>
        </w:rPr>
      </w:pPr>
      <w:r>
        <w:rPr>
          <w:rStyle w:val="FontStyle134"/>
        </w:rPr>
        <w:lastRenderedPageBreak/>
        <w:t>Продемонстрировать применение компьютерного моделирования в оптимизации структуры ЛС на примере аторвастатина</w:t>
      </w:r>
    </w:p>
    <w:p w14:paraId="22C35CF2" w14:textId="77777777" w:rsidR="00507B46" w:rsidRDefault="00507B46" w:rsidP="00507B46">
      <w:pPr>
        <w:pStyle w:val="Style23"/>
        <w:widowControl/>
        <w:numPr>
          <w:ilvl w:val="0"/>
          <w:numId w:val="30"/>
        </w:numPr>
        <w:rPr>
          <w:rStyle w:val="FontStyle134"/>
          <w:b w:val="0"/>
          <w:bCs w:val="0"/>
        </w:rPr>
      </w:pPr>
      <w:r>
        <w:rPr>
          <w:rStyle w:val="FontStyle134"/>
        </w:rPr>
        <w:t>Изложить эволюцию структур ингибиторов дипептидилпептидазы 4 (антидиабетические средства)</w:t>
      </w:r>
    </w:p>
    <w:p w14:paraId="3BD17E37" w14:textId="77777777" w:rsidR="00507B46" w:rsidRDefault="00507B46" w:rsidP="00507B46">
      <w:pPr>
        <w:pStyle w:val="Style23"/>
        <w:widowControl/>
        <w:numPr>
          <w:ilvl w:val="0"/>
          <w:numId w:val="30"/>
        </w:numPr>
        <w:rPr>
          <w:rStyle w:val="FontStyle134"/>
          <w:b w:val="0"/>
          <w:bCs w:val="0"/>
        </w:rPr>
      </w:pPr>
      <w:r>
        <w:rPr>
          <w:rStyle w:val="FontStyle134"/>
        </w:rPr>
        <w:t>Изложить эволюцию структур антигистаминных средств</w:t>
      </w:r>
    </w:p>
    <w:p w14:paraId="6EE3D6B3" w14:textId="77777777" w:rsidR="00507B46" w:rsidRDefault="00507B46" w:rsidP="00507B46">
      <w:pPr>
        <w:pStyle w:val="Style23"/>
        <w:widowControl/>
        <w:numPr>
          <w:ilvl w:val="0"/>
          <w:numId w:val="30"/>
        </w:numPr>
        <w:rPr>
          <w:rStyle w:val="FontStyle134"/>
          <w:b w:val="0"/>
          <w:bCs w:val="0"/>
        </w:rPr>
      </w:pPr>
      <w:r>
        <w:rPr>
          <w:rStyle w:val="FontStyle134"/>
        </w:rPr>
        <w:t>На примере паклитаксела и рифампицина продемонстрировать процесс оптимизации структуры ЛС на основе биомолекул</w:t>
      </w:r>
    </w:p>
    <w:p w14:paraId="35B07F3F" w14:textId="77777777" w:rsidR="00507B46" w:rsidRDefault="00507B46" w:rsidP="00507B46">
      <w:pPr>
        <w:pStyle w:val="Style23"/>
        <w:widowControl/>
        <w:numPr>
          <w:ilvl w:val="0"/>
          <w:numId w:val="30"/>
        </w:numPr>
        <w:rPr>
          <w:rStyle w:val="FontStyle134"/>
          <w:b w:val="0"/>
          <w:bCs w:val="0"/>
        </w:rPr>
      </w:pPr>
      <w:r>
        <w:rPr>
          <w:rStyle w:val="FontStyle134"/>
        </w:rPr>
        <w:t>Изложить историю разработки ривастигмина</w:t>
      </w:r>
    </w:p>
    <w:p w14:paraId="4F0E7538" w14:textId="77777777" w:rsidR="00507B46" w:rsidRDefault="00507B46" w:rsidP="00507B46">
      <w:pPr>
        <w:pStyle w:val="Style23"/>
        <w:widowControl/>
        <w:numPr>
          <w:ilvl w:val="0"/>
          <w:numId w:val="30"/>
        </w:numPr>
        <w:rPr>
          <w:rStyle w:val="FontStyle134"/>
          <w:b w:val="0"/>
          <w:bCs w:val="0"/>
        </w:rPr>
      </w:pPr>
      <w:r>
        <w:rPr>
          <w:rStyle w:val="FontStyle134"/>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78B3BD4E" w14:textId="77777777" w:rsidR="00507B46" w:rsidRDefault="00507B46" w:rsidP="00507B46">
      <w:pPr>
        <w:pStyle w:val="Style23"/>
        <w:widowControl/>
        <w:numPr>
          <w:ilvl w:val="0"/>
          <w:numId w:val="30"/>
        </w:numPr>
        <w:rPr>
          <w:rStyle w:val="FontStyle134"/>
          <w:b w:val="0"/>
          <w:bCs w:val="0"/>
        </w:rPr>
      </w:pPr>
      <w:r>
        <w:rPr>
          <w:rStyle w:val="FontStyle134"/>
        </w:rPr>
        <w:t>На примере антигистаминов и бисфосфонатов показать возможности модификации действия ЛС путем изменения тропности к тканям</w:t>
      </w:r>
    </w:p>
    <w:p w14:paraId="227262FB" w14:textId="77777777" w:rsidR="00507B46" w:rsidRDefault="00507B46" w:rsidP="00507B46">
      <w:pPr>
        <w:pStyle w:val="Style23"/>
        <w:widowControl/>
        <w:numPr>
          <w:ilvl w:val="0"/>
          <w:numId w:val="30"/>
        </w:numPr>
        <w:rPr>
          <w:rStyle w:val="FontStyle134"/>
          <w:b w:val="0"/>
          <w:bCs w:val="0"/>
        </w:rPr>
      </w:pPr>
      <w:r>
        <w:rPr>
          <w:rStyle w:val="FontStyle134"/>
        </w:rPr>
        <w:t>Описать различия между противовирусными и противораковыми средствами</w:t>
      </w:r>
    </w:p>
    <w:p w14:paraId="194C0496" w14:textId="77777777" w:rsidR="00507B46" w:rsidRDefault="00507B46" w:rsidP="00507B46">
      <w:pPr>
        <w:pStyle w:val="Style23"/>
        <w:widowControl/>
        <w:numPr>
          <w:ilvl w:val="0"/>
          <w:numId w:val="30"/>
        </w:numPr>
        <w:rPr>
          <w:rStyle w:val="FontStyle134"/>
          <w:b w:val="0"/>
          <w:bCs w:val="0"/>
        </w:rPr>
      </w:pPr>
      <w:r>
        <w:rPr>
          <w:rStyle w:val="FontStyle134"/>
        </w:rPr>
        <w:t>Описать различия между антипаразитарными и антибактериальными средствами</w:t>
      </w:r>
    </w:p>
    <w:p w14:paraId="1458BA53" w14:textId="77777777" w:rsidR="00507B46" w:rsidRDefault="00507B46" w:rsidP="00507B46">
      <w:pPr>
        <w:pStyle w:val="Style23"/>
        <w:widowControl/>
        <w:numPr>
          <w:ilvl w:val="0"/>
          <w:numId w:val="30"/>
        </w:numPr>
        <w:rPr>
          <w:rStyle w:val="FontStyle134"/>
          <w:b w:val="0"/>
          <w:bCs w:val="0"/>
        </w:rPr>
      </w:pPr>
      <w:r>
        <w:rPr>
          <w:rStyle w:val="FontStyle134"/>
        </w:rPr>
        <w:t>Селективность к гомологичным рецепторам на примере виагры и бисопролола</w:t>
      </w:r>
    </w:p>
    <w:p w14:paraId="2AF0AEBC" w14:textId="77777777" w:rsidR="00507B46" w:rsidRDefault="00507B46" w:rsidP="00507B46">
      <w:pPr>
        <w:pStyle w:val="Style23"/>
        <w:widowControl/>
        <w:numPr>
          <w:ilvl w:val="0"/>
          <w:numId w:val="30"/>
        </w:numPr>
        <w:rPr>
          <w:rStyle w:val="FontStyle134"/>
          <w:b w:val="0"/>
          <w:bCs w:val="0"/>
        </w:rPr>
      </w:pPr>
      <w:r>
        <w:rPr>
          <w:rStyle w:val="FontStyle134"/>
        </w:rPr>
        <w:t>Методы ограничения побочных действий стероидных (антибактериальных, антипаразитарных) препаратов</w:t>
      </w:r>
    </w:p>
    <w:p w14:paraId="6E6C3F0E" w14:textId="77777777" w:rsidR="00507B46" w:rsidRDefault="00507B46" w:rsidP="00507B46">
      <w:pPr>
        <w:rPr>
          <w:sz w:val="24"/>
          <w:szCs w:val="24"/>
        </w:rPr>
      </w:pPr>
      <w:r>
        <w:rPr>
          <w:sz w:val="24"/>
          <w:szCs w:val="24"/>
        </w:rPr>
        <w:t>Рассказать историю открытия и последующего клинического применения следующих лекарственных средств:</w:t>
      </w:r>
    </w:p>
    <w:p w14:paraId="49BBF758" w14:textId="77777777" w:rsidR="00507B46" w:rsidRDefault="00507B46" w:rsidP="00507B46">
      <w:pPr>
        <w:rPr>
          <w:sz w:val="24"/>
          <w:szCs w:val="24"/>
        </w:rPr>
      </w:pPr>
      <w:r>
        <w:rPr>
          <w:sz w:val="24"/>
          <w:szCs w:val="24"/>
        </w:rPr>
        <w:t xml:space="preserve"> - аспирин</w:t>
      </w:r>
    </w:p>
    <w:p w14:paraId="4B0CBD2A" w14:textId="77777777" w:rsidR="00507B46" w:rsidRDefault="00507B46" w:rsidP="00507B46">
      <w:pPr>
        <w:rPr>
          <w:sz w:val="24"/>
          <w:szCs w:val="24"/>
        </w:rPr>
      </w:pPr>
      <w:r>
        <w:rPr>
          <w:sz w:val="24"/>
          <w:szCs w:val="24"/>
        </w:rPr>
        <w:t xml:space="preserve"> - сальварсан</w:t>
      </w:r>
    </w:p>
    <w:p w14:paraId="42C1D810" w14:textId="77777777" w:rsidR="00507B46" w:rsidRDefault="00507B46" w:rsidP="00507B46">
      <w:pPr>
        <w:rPr>
          <w:sz w:val="24"/>
          <w:szCs w:val="24"/>
        </w:rPr>
      </w:pPr>
      <w:r>
        <w:rPr>
          <w:sz w:val="24"/>
          <w:szCs w:val="24"/>
        </w:rPr>
        <w:t xml:space="preserve"> - парацетамол</w:t>
      </w:r>
    </w:p>
    <w:p w14:paraId="218AB58E" w14:textId="77777777" w:rsidR="00507B46" w:rsidRDefault="00507B46" w:rsidP="00507B46">
      <w:pPr>
        <w:rPr>
          <w:sz w:val="24"/>
          <w:szCs w:val="24"/>
        </w:rPr>
      </w:pPr>
      <w:r>
        <w:rPr>
          <w:sz w:val="24"/>
          <w:szCs w:val="24"/>
        </w:rPr>
        <w:t xml:space="preserve"> - стрептоцид</w:t>
      </w:r>
    </w:p>
    <w:p w14:paraId="6163D6F6" w14:textId="77777777" w:rsidR="00507B46" w:rsidRDefault="00507B46" w:rsidP="00507B46">
      <w:r>
        <w:rPr>
          <w:sz w:val="24"/>
          <w:szCs w:val="24"/>
        </w:rPr>
        <w:t xml:space="preserve"> - пенициллин</w:t>
      </w:r>
    </w:p>
    <w:p w14:paraId="4E3A750E" w14:textId="77777777" w:rsidR="00507B46" w:rsidRDefault="00507B46" w:rsidP="00507B46">
      <w:pPr>
        <w:pStyle w:val="Default"/>
      </w:pPr>
    </w:p>
    <w:p w14:paraId="33A9842F" w14:textId="77777777" w:rsidR="00507B46" w:rsidRDefault="00507B46" w:rsidP="00507B46">
      <w:pPr>
        <w:pStyle w:val="Style7"/>
        <w:widowControl/>
        <w:tabs>
          <w:tab w:val="left" w:pos="350"/>
        </w:tabs>
        <w:ind w:left="350"/>
        <w:rPr>
          <w:rStyle w:val="FontStyle137"/>
        </w:rPr>
      </w:pPr>
    </w:p>
    <w:p w14:paraId="0940E0B6" w14:textId="77777777" w:rsidR="00507B46" w:rsidRDefault="00507B46" w:rsidP="00507B46">
      <w:pPr>
        <w:pStyle w:val="Style7"/>
        <w:widowControl/>
        <w:tabs>
          <w:tab w:val="left" w:pos="350"/>
        </w:tabs>
        <w:ind w:left="350"/>
      </w:pPr>
      <w:r>
        <w:rPr>
          <w:rStyle w:val="FontStyle137"/>
        </w:rPr>
        <w:t>б)</w:t>
      </w:r>
      <w:r>
        <w:rPr>
          <w:rStyle w:val="FontStyle137"/>
        </w:rPr>
        <w:tab/>
        <w:t>критерии оценивания компетенций (результатов):</w:t>
      </w:r>
    </w:p>
    <w:p w14:paraId="18F94D3C" w14:textId="77777777" w:rsidR="00507B46" w:rsidRDefault="00507B46" w:rsidP="00507B46">
      <w:pPr>
        <w:pStyle w:val="Style7"/>
        <w:widowControl/>
        <w:tabs>
          <w:tab w:val="left" w:pos="350"/>
        </w:tabs>
        <w:ind w:left="350"/>
        <w:rPr>
          <w:rStyle w:val="FontStyle137"/>
        </w:rPr>
      </w:pPr>
    </w:p>
    <w:p w14:paraId="2F14A33B" w14:textId="77777777" w:rsidR="00507B46" w:rsidRDefault="00507B46" w:rsidP="00507B46">
      <w:pPr>
        <w:pStyle w:val="Style7"/>
        <w:widowControl/>
        <w:ind w:firstLine="426"/>
        <w:jc w:val="both"/>
        <w:rPr>
          <w:rStyle w:val="FontStyle137"/>
        </w:rPr>
      </w:pPr>
      <w:r>
        <w:t>Коллоквиум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45C6DD42" w14:textId="77777777" w:rsidR="00507B46" w:rsidRDefault="00507B46" w:rsidP="00507B46">
      <w:pPr>
        <w:pStyle w:val="Style7"/>
        <w:widowControl/>
        <w:tabs>
          <w:tab w:val="left" w:pos="350"/>
        </w:tabs>
        <w:ind w:left="350"/>
        <w:rPr>
          <w:rStyle w:val="FontStyle137"/>
        </w:rPr>
      </w:pPr>
    </w:p>
    <w:p w14:paraId="79230A1C" w14:textId="77777777" w:rsidR="00507B46" w:rsidRDefault="00507B46" w:rsidP="00507B46">
      <w:pPr>
        <w:pStyle w:val="Style7"/>
        <w:widowControl/>
        <w:tabs>
          <w:tab w:val="left" w:pos="350"/>
        </w:tabs>
        <w:ind w:left="350"/>
      </w:pPr>
      <w:r>
        <w:rPr>
          <w:rStyle w:val="FontStyle137"/>
        </w:rPr>
        <w:t>в)</w:t>
      </w:r>
      <w:r>
        <w:rPr>
          <w:rStyle w:val="FontStyle137"/>
        </w:rPr>
        <w:tab/>
        <w:t>описание шкалы оценивания:</w:t>
      </w:r>
    </w:p>
    <w:p w14:paraId="5047CBE8" w14:textId="77777777" w:rsidR="00507B46" w:rsidRDefault="00507B46" w:rsidP="00507B46">
      <w:pPr>
        <w:pStyle w:val="Style63"/>
        <w:widowControl/>
        <w:ind w:left="753"/>
        <w:rPr>
          <w:rStyle w:val="FontStyle137"/>
        </w:rPr>
      </w:pPr>
    </w:p>
    <w:p w14:paraId="6D66674F" w14:textId="77777777" w:rsidR="00507B46" w:rsidRDefault="00507B46" w:rsidP="00507B46">
      <w:pPr>
        <w:pStyle w:val="Style63"/>
        <w:widowControl/>
        <w:ind w:firstLine="567"/>
        <w:jc w:val="both"/>
      </w:pPr>
      <w:r>
        <w:t>Максимальная оценка за устное выступление и работу на семинарском занятии – 10 балла.</w:t>
      </w:r>
    </w:p>
    <w:p w14:paraId="0C962E59" w14:textId="77777777" w:rsidR="00507B46" w:rsidRDefault="00507B46" w:rsidP="00507B46">
      <w:pPr>
        <w:pStyle w:val="Style63"/>
        <w:widowControl/>
        <w:ind w:left="753"/>
      </w:pPr>
    </w:p>
    <w:p w14:paraId="787CCE7E" w14:textId="77777777" w:rsidR="00507B46" w:rsidRDefault="00507B46" w:rsidP="00507B46">
      <w:pPr>
        <w:pStyle w:val="Default"/>
        <w:jc w:val="both"/>
      </w:pPr>
      <w:r>
        <w:rPr>
          <w:b/>
        </w:rPr>
        <w:t>8-10 баллов</w:t>
      </w:r>
      <w:r>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70AA085" w14:textId="77777777" w:rsidR="00507B46" w:rsidRDefault="00507B46" w:rsidP="00507B46">
      <w:pPr>
        <w:pStyle w:val="Default"/>
        <w:jc w:val="both"/>
      </w:pPr>
      <w:r>
        <w:rPr>
          <w:b/>
        </w:rPr>
        <w:t>5-7 баллов</w:t>
      </w:r>
      <w:r>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w:t>
      </w:r>
      <w:r>
        <w:lastRenderedPageBreak/>
        <w:t xml:space="preserve">активность в работе группы на семинаре (готовится и отвечает только на один вопрос семинарского занятия). </w:t>
      </w:r>
    </w:p>
    <w:p w14:paraId="1DBD0C20" w14:textId="77777777" w:rsidR="00507B46" w:rsidRDefault="00507B46" w:rsidP="00507B46">
      <w:pPr>
        <w:rPr>
          <w:sz w:val="24"/>
          <w:szCs w:val="24"/>
        </w:rPr>
      </w:pPr>
      <w:r>
        <w:rPr>
          <w:b/>
          <w:sz w:val="24"/>
          <w:szCs w:val="24"/>
        </w:rPr>
        <w:t>0-5 балла</w:t>
      </w:r>
      <w:r>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7886DA20" w14:textId="77777777" w:rsidR="00507B46" w:rsidRDefault="00507B46" w:rsidP="00507B46">
      <w:pPr>
        <w:jc w:val="both"/>
        <w:rPr>
          <w:sz w:val="24"/>
          <w:szCs w:val="24"/>
        </w:rPr>
      </w:pPr>
    </w:p>
    <w:p w14:paraId="686AE7CC" w14:textId="77777777" w:rsidR="00507B46" w:rsidRDefault="00507B46" w:rsidP="00507B46">
      <w:pPr>
        <w:pStyle w:val="Style23"/>
        <w:widowControl/>
        <w:rPr>
          <w:rStyle w:val="FontStyle134"/>
          <w:i/>
        </w:rPr>
      </w:pPr>
    </w:p>
    <w:p w14:paraId="684B65C8" w14:textId="77777777" w:rsidR="00507B46" w:rsidRDefault="00507B46" w:rsidP="00507B46">
      <w:pPr>
        <w:pStyle w:val="Style23"/>
        <w:widowControl/>
        <w:rPr>
          <w:rStyle w:val="FontStyle134"/>
          <w:i/>
        </w:rPr>
      </w:pPr>
      <w:r>
        <w:rPr>
          <w:rStyle w:val="FontStyle134"/>
          <w:i/>
        </w:rPr>
        <w:t>4.1.2 Зачет</w:t>
      </w:r>
    </w:p>
    <w:p w14:paraId="2F8CA058" w14:textId="77777777" w:rsidR="00507B46" w:rsidRDefault="00507B46" w:rsidP="00507B46">
      <w:pPr>
        <w:pStyle w:val="Style7"/>
        <w:widowControl/>
        <w:tabs>
          <w:tab w:val="left" w:pos="413"/>
        </w:tabs>
        <w:ind w:left="413"/>
      </w:pPr>
      <w:r>
        <w:rPr>
          <w:rStyle w:val="FontStyle137"/>
        </w:rPr>
        <w:t>а)</w:t>
      </w:r>
      <w:r>
        <w:rPr>
          <w:rStyle w:val="FontStyle137"/>
        </w:rPr>
        <w:tab/>
        <w:t>типовые вопросы:</w:t>
      </w:r>
    </w:p>
    <w:p w14:paraId="40F01F05" w14:textId="77777777" w:rsidR="00507B46" w:rsidRDefault="00507B46" w:rsidP="00507B46">
      <w:pPr>
        <w:pStyle w:val="Style23"/>
        <w:widowControl/>
        <w:rPr>
          <w:rStyle w:val="FontStyle134"/>
          <w:b w:val="0"/>
        </w:rPr>
      </w:pPr>
    </w:p>
    <w:p w14:paraId="56E2CE7E" w14:textId="77777777" w:rsidR="00507B46" w:rsidRDefault="00507B46" w:rsidP="00507B46">
      <w:pPr>
        <w:pStyle w:val="29"/>
        <w:widowControl/>
        <w:numPr>
          <w:ilvl w:val="1"/>
          <w:numId w:val="31"/>
        </w:numPr>
        <w:autoSpaceDE/>
        <w:adjustRightInd/>
        <w:spacing w:line="276" w:lineRule="auto"/>
      </w:pPr>
      <w:r>
        <w:t>1. Ферментативные реакции, кинетика и виды активации и ингибирования.</w:t>
      </w:r>
    </w:p>
    <w:p w14:paraId="5618A325" w14:textId="77777777" w:rsidR="00507B46" w:rsidRDefault="00507B46" w:rsidP="00507B46">
      <w:pPr>
        <w:pStyle w:val="29"/>
        <w:widowControl/>
        <w:numPr>
          <w:ilvl w:val="1"/>
          <w:numId w:val="31"/>
        </w:numPr>
        <w:autoSpaceDE/>
        <w:adjustRightInd/>
        <w:spacing w:line="276" w:lineRule="auto"/>
      </w:pPr>
      <w:r>
        <w:t>Примеры модификации структуры АФС для снижения метаболической токсичности</w:t>
      </w:r>
    </w:p>
    <w:p w14:paraId="0A37A773" w14:textId="77777777" w:rsidR="00507B46" w:rsidRDefault="00507B46" w:rsidP="00507B46">
      <w:pPr>
        <w:pStyle w:val="29"/>
        <w:widowControl/>
        <w:numPr>
          <w:ilvl w:val="1"/>
          <w:numId w:val="31"/>
        </w:numPr>
        <w:autoSpaceDE/>
        <w:adjustRightInd/>
        <w:spacing w:line="276" w:lineRule="auto"/>
      </w:pPr>
      <w:r>
        <w:t>Основные этапы разработки лекарственных средств.</w:t>
      </w:r>
    </w:p>
    <w:p w14:paraId="141F9490" w14:textId="77777777" w:rsidR="00507B46" w:rsidRDefault="00507B46" w:rsidP="00507B46">
      <w:pPr>
        <w:pStyle w:val="29"/>
        <w:widowControl/>
        <w:numPr>
          <w:ilvl w:val="1"/>
          <w:numId w:val="31"/>
        </w:numPr>
        <w:autoSpaceDE/>
        <w:adjustRightInd/>
        <w:spacing w:line="276" w:lineRule="auto"/>
      </w:pPr>
      <w:r>
        <w:t>Приемы модификации структуры для создания короткодействующих и пролонгированных АФС</w:t>
      </w:r>
    </w:p>
    <w:p w14:paraId="1A930B1E" w14:textId="77777777" w:rsidR="00507B46" w:rsidRDefault="00507B46" w:rsidP="00507B46">
      <w:pPr>
        <w:pStyle w:val="29"/>
        <w:widowControl/>
        <w:numPr>
          <w:ilvl w:val="1"/>
          <w:numId w:val="31"/>
        </w:numPr>
        <w:autoSpaceDE/>
        <w:adjustRightInd/>
        <w:spacing w:line="276" w:lineRule="auto"/>
      </w:pPr>
      <w:r>
        <w:t>Рецепторы – функции, химическая сущность действия, биохимические каскады.</w:t>
      </w:r>
    </w:p>
    <w:p w14:paraId="161E3739" w14:textId="77777777" w:rsidR="00507B46" w:rsidRDefault="00507B46" w:rsidP="00507B46">
      <w:pPr>
        <w:pStyle w:val="29"/>
        <w:widowControl/>
        <w:numPr>
          <w:ilvl w:val="1"/>
          <w:numId w:val="31"/>
        </w:numPr>
        <w:autoSpaceDE/>
        <w:adjustRightInd/>
        <w:spacing w:line="276" w:lineRule="auto"/>
      </w:pPr>
      <w:r>
        <w:t>Примеры модификации структуры АФС для корректировки распределения по органам</w:t>
      </w:r>
    </w:p>
    <w:p w14:paraId="20393776" w14:textId="77777777" w:rsidR="00507B46" w:rsidRDefault="00507B46" w:rsidP="00507B46">
      <w:pPr>
        <w:pStyle w:val="29"/>
        <w:widowControl/>
        <w:numPr>
          <w:ilvl w:val="1"/>
          <w:numId w:val="31"/>
        </w:numPr>
        <w:autoSpaceDE/>
        <w:adjustRightInd/>
        <w:spacing w:line="276" w:lineRule="auto"/>
      </w:pPr>
      <w:r>
        <w:t>Антагонисты, агонисты и лиганды рецепторов.</w:t>
      </w:r>
    </w:p>
    <w:p w14:paraId="4E1174B8" w14:textId="77777777" w:rsidR="00507B46" w:rsidRDefault="00507B46" w:rsidP="00507B46">
      <w:pPr>
        <w:pStyle w:val="29"/>
        <w:widowControl/>
        <w:numPr>
          <w:ilvl w:val="1"/>
          <w:numId w:val="31"/>
        </w:numPr>
        <w:autoSpaceDE/>
        <w:adjustRightInd/>
        <w:spacing w:line="276" w:lineRule="auto"/>
      </w:pPr>
      <w:r>
        <w:t>Орган-специфичные АФС – примеры успешной разработки</w:t>
      </w:r>
    </w:p>
    <w:p w14:paraId="0EB7A24B" w14:textId="77777777" w:rsidR="00507B46" w:rsidRDefault="00507B46" w:rsidP="00507B46">
      <w:pPr>
        <w:pStyle w:val="29"/>
        <w:widowControl/>
        <w:numPr>
          <w:ilvl w:val="1"/>
          <w:numId w:val="31"/>
        </w:numPr>
        <w:autoSpaceDE/>
        <w:adjustRightInd/>
        <w:spacing w:line="276" w:lineRule="auto"/>
      </w:pPr>
      <w:r>
        <w:t>Достоинства и ограничения компьютерного моделирования лиганд-рецепторного взаимодействия</w:t>
      </w:r>
    </w:p>
    <w:p w14:paraId="35D9DCDB" w14:textId="77777777" w:rsidR="00507B46" w:rsidRDefault="00507B46" w:rsidP="00507B46">
      <w:pPr>
        <w:pStyle w:val="29"/>
        <w:widowControl/>
        <w:numPr>
          <w:ilvl w:val="1"/>
          <w:numId w:val="31"/>
        </w:numPr>
        <w:autoSpaceDE/>
        <w:adjustRightInd/>
        <w:spacing w:line="276" w:lineRule="auto"/>
      </w:pPr>
      <w:r>
        <w:t>Антибактериальные средства -  особенности конструирования и оптимизации структуры.</w:t>
      </w:r>
    </w:p>
    <w:p w14:paraId="01FA8D96" w14:textId="77777777" w:rsidR="00507B46" w:rsidRDefault="00507B46" w:rsidP="00507B46">
      <w:pPr>
        <w:pStyle w:val="29"/>
        <w:widowControl/>
        <w:numPr>
          <w:ilvl w:val="1"/>
          <w:numId w:val="31"/>
        </w:numPr>
        <w:autoSpaceDE/>
        <w:adjustRightInd/>
        <w:spacing w:line="276" w:lineRule="auto"/>
      </w:pPr>
      <w:r>
        <w:t>Хемогеномика – определение, цели, перспективы их достижения</w:t>
      </w:r>
    </w:p>
    <w:p w14:paraId="041666AC" w14:textId="77777777" w:rsidR="00507B46" w:rsidRDefault="00507B46" w:rsidP="00507B46">
      <w:pPr>
        <w:pStyle w:val="29"/>
        <w:widowControl/>
        <w:numPr>
          <w:ilvl w:val="1"/>
          <w:numId w:val="31"/>
        </w:numPr>
        <w:autoSpaceDE/>
        <w:adjustRightInd/>
        <w:spacing w:line="276" w:lineRule="auto"/>
      </w:pPr>
      <w:r>
        <w:t>Противовирусные средства - особенности конструирования и оптимизации структуры</w:t>
      </w:r>
    </w:p>
    <w:p w14:paraId="6A6D8A48" w14:textId="77777777" w:rsidR="00507B46" w:rsidRDefault="00507B46" w:rsidP="00507B46">
      <w:pPr>
        <w:pStyle w:val="29"/>
        <w:widowControl/>
        <w:numPr>
          <w:ilvl w:val="1"/>
          <w:numId w:val="31"/>
        </w:numPr>
        <w:autoSpaceDE/>
        <w:adjustRightInd/>
        <w:spacing w:line="276" w:lineRule="auto"/>
      </w:pPr>
      <w:r>
        <w:t>Фармакологический профиль соединения. Методы коррекции</w:t>
      </w:r>
    </w:p>
    <w:p w14:paraId="075EED07" w14:textId="77777777" w:rsidR="00507B46" w:rsidRDefault="00507B46" w:rsidP="00507B46">
      <w:pPr>
        <w:pStyle w:val="29"/>
        <w:widowControl/>
        <w:numPr>
          <w:ilvl w:val="1"/>
          <w:numId w:val="31"/>
        </w:numPr>
        <w:autoSpaceDE/>
        <w:adjustRightInd/>
        <w:spacing w:line="276" w:lineRule="auto"/>
      </w:pPr>
      <w:r>
        <w:t>Противораковые средства - особенности конструирования и оптимизации структуры</w:t>
      </w:r>
    </w:p>
    <w:p w14:paraId="5FB7D9EB" w14:textId="77777777" w:rsidR="00507B46" w:rsidRDefault="00507B46" w:rsidP="00507B46">
      <w:pPr>
        <w:pStyle w:val="29"/>
        <w:widowControl/>
        <w:numPr>
          <w:ilvl w:val="1"/>
          <w:numId w:val="31"/>
        </w:numPr>
        <w:autoSpaceDE/>
        <w:adjustRightInd/>
        <w:spacing w:line="276" w:lineRule="auto"/>
      </w:pPr>
      <w:r>
        <w:t>Биоизостеризм – определение, примеры, ограничения</w:t>
      </w:r>
    </w:p>
    <w:p w14:paraId="2B2FE4F0" w14:textId="77777777" w:rsidR="00507B46" w:rsidRDefault="00507B46" w:rsidP="00507B46">
      <w:pPr>
        <w:pStyle w:val="29"/>
        <w:widowControl/>
        <w:numPr>
          <w:ilvl w:val="1"/>
          <w:numId w:val="31"/>
        </w:numPr>
        <w:autoSpaceDE/>
        <w:adjustRightInd/>
        <w:spacing w:line="276" w:lineRule="auto"/>
      </w:pPr>
      <w:r>
        <w:t>Полусинтетические АФС – особенности оптимизации структуры</w:t>
      </w:r>
    </w:p>
    <w:p w14:paraId="676E997C" w14:textId="77777777" w:rsidR="00507B46" w:rsidRDefault="00507B46" w:rsidP="00507B46">
      <w:pPr>
        <w:pStyle w:val="29"/>
        <w:widowControl/>
        <w:numPr>
          <w:ilvl w:val="1"/>
          <w:numId w:val="31"/>
        </w:numPr>
        <w:autoSpaceDE/>
        <w:adjustRightInd/>
        <w:spacing w:line="276" w:lineRule="auto"/>
      </w:pPr>
      <w:r>
        <w:t>Селективность лигандов к различным и гомологичным рецепторам. Следствия для медицинского применения</w:t>
      </w:r>
    </w:p>
    <w:p w14:paraId="19032322" w14:textId="77777777" w:rsidR="00507B46" w:rsidRDefault="00507B46" w:rsidP="00507B46">
      <w:pPr>
        <w:pStyle w:val="29"/>
        <w:widowControl/>
        <w:numPr>
          <w:ilvl w:val="1"/>
          <w:numId w:val="31"/>
        </w:numPr>
        <w:autoSpaceDE/>
        <w:adjustRightInd/>
        <w:spacing w:line="276" w:lineRule="auto"/>
      </w:pPr>
      <w:r>
        <w:t>Основные химические пути выведения АФС из организма</w:t>
      </w:r>
    </w:p>
    <w:p w14:paraId="28679736" w14:textId="77777777" w:rsidR="00507B46" w:rsidRDefault="00507B46" w:rsidP="00507B46">
      <w:pPr>
        <w:pStyle w:val="29"/>
        <w:widowControl/>
        <w:numPr>
          <w:ilvl w:val="1"/>
          <w:numId w:val="31"/>
        </w:numPr>
        <w:autoSpaceDE/>
        <w:adjustRightInd/>
        <w:spacing w:line="276" w:lineRule="auto"/>
      </w:pPr>
      <w:r>
        <w:t>Правила Липинского и подобные ему, обоснование и ограничения</w:t>
      </w:r>
    </w:p>
    <w:p w14:paraId="2920AD83" w14:textId="77777777" w:rsidR="00507B46" w:rsidRDefault="00507B46" w:rsidP="00507B46">
      <w:pPr>
        <w:pStyle w:val="29"/>
        <w:widowControl/>
        <w:numPr>
          <w:ilvl w:val="1"/>
          <w:numId w:val="31"/>
        </w:numPr>
        <w:autoSpaceDE/>
        <w:adjustRightInd/>
        <w:spacing w:line="276" w:lineRule="auto"/>
      </w:pPr>
      <w:r>
        <w:t>Генотоксичность – структурные фрагменты с потенциальным риском</w:t>
      </w:r>
    </w:p>
    <w:p w14:paraId="65AD4B96" w14:textId="77777777" w:rsidR="00507B46" w:rsidRDefault="00507B46" w:rsidP="00507B46">
      <w:pPr>
        <w:pStyle w:val="29"/>
        <w:widowControl/>
        <w:numPr>
          <w:ilvl w:val="1"/>
          <w:numId w:val="31"/>
        </w:numPr>
        <w:autoSpaceDE/>
        <w:adjustRightInd/>
        <w:spacing w:line="276" w:lineRule="auto"/>
      </w:pPr>
      <w:r>
        <w:t>Получение стартовых структур методами рационального дизайна, сплошного биоскрининга, фокусированных библиотек и из природных источников. Сравнение достоинств и недостатков</w:t>
      </w:r>
    </w:p>
    <w:p w14:paraId="4439A0E5" w14:textId="77777777" w:rsidR="00507B46" w:rsidRDefault="00507B46" w:rsidP="00507B46">
      <w:pPr>
        <w:pStyle w:val="29"/>
        <w:widowControl/>
        <w:numPr>
          <w:ilvl w:val="1"/>
          <w:numId w:val="31"/>
        </w:numPr>
        <w:autoSpaceDE/>
        <w:adjustRightInd/>
        <w:spacing w:line="276" w:lineRule="auto"/>
      </w:pPr>
      <w:r>
        <w:t>Тесты «первой линии» на мутагенность метаболитов АФС</w:t>
      </w:r>
    </w:p>
    <w:p w14:paraId="71DE3E24" w14:textId="77777777" w:rsidR="00507B46" w:rsidRDefault="00507B46" w:rsidP="00507B46">
      <w:pPr>
        <w:pStyle w:val="29"/>
        <w:widowControl/>
        <w:numPr>
          <w:ilvl w:val="1"/>
          <w:numId w:val="31"/>
        </w:numPr>
        <w:autoSpaceDE/>
        <w:adjustRightInd/>
        <w:spacing w:line="276" w:lineRule="auto"/>
      </w:pPr>
      <w:r>
        <w:t>Оптимизация структуры действующей АФС – цели и методы</w:t>
      </w:r>
    </w:p>
    <w:p w14:paraId="7602D9D2" w14:textId="77777777" w:rsidR="00507B46" w:rsidRDefault="00507B46" w:rsidP="00507B46">
      <w:pPr>
        <w:pStyle w:val="29"/>
        <w:widowControl/>
        <w:numPr>
          <w:ilvl w:val="1"/>
          <w:numId w:val="31"/>
        </w:numPr>
        <w:autoSpaceDE/>
        <w:adjustRightInd/>
        <w:spacing w:line="276" w:lineRule="auto"/>
      </w:pPr>
      <w:r>
        <w:t>Цитохром Р450-лабильные положения в структурах АФС</w:t>
      </w:r>
    </w:p>
    <w:p w14:paraId="666B391C" w14:textId="77777777" w:rsidR="00507B46" w:rsidRDefault="00507B46" w:rsidP="00507B46">
      <w:pPr>
        <w:pStyle w:val="29"/>
        <w:widowControl/>
        <w:numPr>
          <w:ilvl w:val="1"/>
          <w:numId w:val="31"/>
        </w:numPr>
        <w:autoSpaceDE/>
        <w:adjustRightInd/>
        <w:spacing w:line="276" w:lineRule="auto"/>
      </w:pPr>
      <w:r>
        <w:lastRenderedPageBreak/>
        <w:t>Различия в стратегии и тактике бизнес- и пациент-ориентированной разработки АФС</w:t>
      </w:r>
    </w:p>
    <w:p w14:paraId="3A7ACFB3" w14:textId="77777777" w:rsidR="00507B46" w:rsidRDefault="00507B46" w:rsidP="00507B46">
      <w:pPr>
        <w:pStyle w:val="29"/>
        <w:widowControl/>
        <w:numPr>
          <w:ilvl w:val="1"/>
          <w:numId w:val="31"/>
        </w:numPr>
        <w:autoSpaceDE/>
        <w:adjustRightInd/>
        <w:spacing w:line="276" w:lineRule="auto"/>
      </w:pPr>
      <w:r>
        <w:t>МАО-лабильные положения в структурах АФС</w:t>
      </w:r>
    </w:p>
    <w:p w14:paraId="147EC86B" w14:textId="77777777" w:rsidR="00507B46" w:rsidRDefault="00507B46" w:rsidP="00507B46">
      <w:pPr>
        <w:pStyle w:val="29"/>
        <w:widowControl/>
        <w:numPr>
          <w:ilvl w:val="1"/>
          <w:numId w:val="31"/>
        </w:numPr>
        <w:autoSpaceDE/>
        <w:adjustRightInd/>
        <w:spacing w:line="276" w:lineRule="auto"/>
      </w:pPr>
      <w:r>
        <w:t>Стереохимические аспекты активности АФС</w:t>
      </w:r>
    </w:p>
    <w:p w14:paraId="5EDB61CC" w14:textId="77777777" w:rsidR="00507B46" w:rsidRDefault="00507B46" w:rsidP="00507B46">
      <w:pPr>
        <w:pStyle w:val="29"/>
        <w:widowControl/>
        <w:numPr>
          <w:ilvl w:val="1"/>
          <w:numId w:val="31"/>
        </w:numPr>
        <w:autoSpaceDE/>
        <w:adjustRightInd/>
        <w:spacing w:line="276" w:lineRule="auto"/>
      </w:pPr>
      <w:r>
        <w:t>Влияние интеллектуальной собственности на оптимизацию структуры АФС</w:t>
      </w:r>
    </w:p>
    <w:p w14:paraId="2143C067" w14:textId="77777777" w:rsidR="00507B46" w:rsidRDefault="00507B46" w:rsidP="00507B46">
      <w:pPr>
        <w:pStyle w:val="29"/>
        <w:widowControl/>
        <w:numPr>
          <w:ilvl w:val="1"/>
          <w:numId w:val="31"/>
        </w:numPr>
        <w:autoSpaceDE/>
        <w:adjustRightInd/>
        <w:spacing w:line="276" w:lineRule="auto"/>
      </w:pPr>
      <w:r>
        <w:t>Прямая и метаболическая токсичность</w:t>
      </w:r>
    </w:p>
    <w:p w14:paraId="3F38FB78" w14:textId="77777777" w:rsidR="00507B46" w:rsidRDefault="00507B46" w:rsidP="00507B46">
      <w:pPr>
        <w:pStyle w:val="29"/>
        <w:widowControl/>
        <w:numPr>
          <w:ilvl w:val="1"/>
          <w:numId w:val="31"/>
        </w:numPr>
        <w:autoSpaceDE/>
        <w:adjustRightInd/>
        <w:spacing w:line="276" w:lineRule="auto"/>
      </w:pPr>
      <w:r>
        <w:t>Привилегированные структуры в медицинской химии</w:t>
      </w:r>
    </w:p>
    <w:p w14:paraId="08141273" w14:textId="77777777" w:rsidR="00507B46" w:rsidRDefault="00507B46" w:rsidP="00507B46">
      <w:pPr>
        <w:pStyle w:val="Default"/>
        <w:spacing w:after="43"/>
        <w:rPr>
          <w:rStyle w:val="FontStyle134"/>
          <w:b w:val="0"/>
        </w:rPr>
      </w:pPr>
    </w:p>
    <w:p w14:paraId="05146FD1" w14:textId="77777777" w:rsidR="00507B46" w:rsidRDefault="00507B46" w:rsidP="00507B46">
      <w:pPr>
        <w:pStyle w:val="Style23"/>
        <w:widowControl/>
      </w:pPr>
      <w:r>
        <w:rPr>
          <w:rStyle w:val="FontStyle137"/>
        </w:rPr>
        <w:t>б)</w:t>
      </w:r>
      <w:r>
        <w:rPr>
          <w:rStyle w:val="FontStyle137"/>
        </w:rPr>
        <w:tab/>
        <w:t>критерии оценивания компетенций (результатов):</w:t>
      </w:r>
    </w:p>
    <w:p w14:paraId="7C125494" w14:textId="77777777" w:rsidR="00507B46" w:rsidRDefault="00507B46" w:rsidP="00507B46">
      <w:pPr>
        <w:rPr>
          <w:rStyle w:val="FontStyle137"/>
          <w:sz w:val="24"/>
          <w:szCs w:val="24"/>
        </w:rPr>
      </w:pPr>
    </w:p>
    <w:p w14:paraId="66439FAF" w14:textId="77777777" w:rsidR="00507B46" w:rsidRDefault="00507B46" w:rsidP="00507B46">
      <w:r>
        <w:rPr>
          <w:sz w:val="24"/>
          <w:szCs w:val="24"/>
        </w:rPr>
        <w:t>Ответ оценивается по следующим критериям:</w:t>
      </w:r>
    </w:p>
    <w:p w14:paraId="4B51E865" w14:textId="77777777" w:rsidR="00507B46" w:rsidRDefault="00507B46" w:rsidP="00507B46">
      <w:pPr>
        <w:rPr>
          <w:sz w:val="24"/>
          <w:szCs w:val="24"/>
        </w:rPr>
      </w:pPr>
      <w:r>
        <w:rPr>
          <w:sz w:val="24"/>
          <w:szCs w:val="24"/>
        </w:rPr>
        <w:t>- правильность, полнота и логичность построения ответа;</w:t>
      </w:r>
    </w:p>
    <w:p w14:paraId="204D5325" w14:textId="77777777" w:rsidR="00507B46" w:rsidRDefault="00507B46" w:rsidP="00507B46">
      <w:pPr>
        <w:rPr>
          <w:sz w:val="24"/>
          <w:szCs w:val="24"/>
        </w:rPr>
      </w:pPr>
      <w:r>
        <w:rPr>
          <w:sz w:val="24"/>
          <w:szCs w:val="24"/>
        </w:rPr>
        <w:t>- умение оперировать специальными терминами;</w:t>
      </w:r>
    </w:p>
    <w:p w14:paraId="517B6DDC" w14:textId="77777777" w:rsidR="00507B46" w:rsidRDefault="00507B46" w:rsidP="00507B46">
      <w:pPr>
        <w:rPr>
          <w:sz w:val="24"/>
          <w:szCs w:val="24"/>
        </w:rPr>
      </w:pPr>
      <w:r>
        <w:rPr>
          <w:sz w:val="24"/>
          <w:szCs w:val="24"/>
        </w:rPr>
        <w:t>- использование в ответе дополнительного материала;</w:t>
      </w:r>
    </w:p>
    <w:p w14:paraId="07326C57" w14:textId="77777777" w:rsidR="00507B46" w:rsidRDefault="00507B46" w:rsidP="00507B46">
      <w:pPr>
        <w:rPr>
          <w:sz w:val="24"/>
          <w:szCs w:val="24"/>
        </w:rPr>
      </w:pPr>
      <w:r>
        <w:rPr>
          <w:sz w:val="24"/>
          <w:szCs w:val="24"/>
        </w:rPr>
        <w:t>- умение иллюстрировать теоретические положения практическим материалом;</w:t>
      </w:r>
    </w:p>
    <w:p w14:paraId="3472E9CC" w14:textId="77777777" w:rsidR="00507B46" w:rsidRDefault="00507B46" w:rsidP="00507B46">
      <w:pPr>
        <w:rPr>
          <w:sz w:val="24"/>
          <w:szCs w:val="24"/>
        </w:rPr>
      </w:pPr>
    </w:p>
    <w:p w14:paraId="378006AF" w14:textId="77777777" w:rsidR="00507B46" w:rsidRDefault="00507B46" w:rsidP="00507B46">
      <w:pPr>
        <w:rPr>
          <w:sz w:val="24"/>
          <w:szCs w:val="24"/>
        </w:rPr>
      </w:pPr>
      <w:r>
        <w:rPr>
          <w:sz w:val="24"/>
          <w:szCs w:val="24"/>
        </w:rPr>
        <w:t>в) описание шкалы оценивания:</w:t>
      </w:r>
    </w:p>
    <w:p w14:paraId="458D3DAB" w14:textId="77777777" w:rsidR="00507B46" w:rsidRDefault="00507B46" w:rsidP="00507B46">
      <w:pPr>
        <w:rPr>
          <w:sz w:val="24"/>
          <w:szCs w:val="24"/>
        </w:rPr>
      </w:pPr>
    </w:p>
    <w:p w14:paraId="568397A5" w14:textId="77777777" w:rsidR="00507B46" w:rsidRDefault="00507B46" w:rsidP="00507B46">
      <w:pPr>
        <w:rPr>
          <w:sz w:val="24"/>
          <w:szCs w:val="24"/>
        </w:rPr>
      </w:pPr>
      <w:r>
        <w:rPr>
          <w:sz w:val="24"/>
          <w:szCs w:val="24"/>
        </w:rPr>
        <w:t xml:space="preserve">Допуск к экзамену по дисциплине осуществляется при количестве баллов более 35. </w:t>
      </w:r>
    </w:p>
    <w:p w14:paraId="115D7C92" w14:textId="77777777" w:rsidR="00507B46" w:rsidRDefault="00507B46" w:rsidP="00507B46">
      <w:pPr>
        <w:rPr>
          <w:sz w:val="24"/>
          <w:szCs w:val="24"/>
        </w:rPr>
      </w:pPr>
      <w:r>
        <w:rPr>
          <w:sz w:val="24"/>
          <w:szCs w:val="24"/>
        </w:rPr>
        <w:t>За семестр студент может набрать от 35 до 60 баллов.</w:t>
      </w:r>
    </w:p>
    <w:p w14:paraId="4A80A888" w14:textId="77777777" w:rsidR="00507B46" w:rsidRDefault="00507B46" w:rsidP="00507B46">
      <w:pPr>
        <w:rPr>
          <w:sz w:val="24"/>
          <w:szCs w:val="24"/>
        </w:rPr>
      </w:pPr>
      <w:r>
        <w:rPr>
          <w:sz w:val="24"/>
          <w:szCs w:val="24"/>
        </w:rPr>
        <w:t>Минимальный балл за ответ на экзамене – 20, максимальный – 40.</w:t>
      </w:r>
    </w:p>
    <w:p w14:paraId="44CE4BCA" w14:textId="77777777" w:rsidR="00507B46" w:rsidRDefault="00507B46" w:rsidP="00507B46">
      <w:pPr>
        <w:rPr>
          <w:sz w:val="24"/>
          <w:szCs w:val="24"/>
        </w:rPr>
      </w:pPr>
    </w:p>
    <w:p w14:paraId="393E4AD1" w14:textId="77777777" w:rsidR="00507B46" w:rsidRDefault="00507B46" w:rsidP="00507B46">
      <w:pPr>
        <w:pStyle w:val="Default"/>
      </w:pPr>
      <w:r>
        <w:t xml:space="preserve">Общая оценка в случае дифференцировки выглядит следующим образом: </w:t>
      </w:r>
    </w:p>
    <w:p w14:paraId="25C903E0" w14:textId="77777777" w:rsidR="00507B46" w:rsidRDefault="00507B46" w:rsidP="00507B46">
      <w:pPr>
        <w:pStyle w:val="Default"/>
        <w:spacing w:after="31"/>
      </w:pPr>
      <w:r>
        <w:t xml:space="preserve">• 60-74 баллов – «удовлетворительно»; </w:t>
      </w:r>
    </w:p>
    <w:p w14:paraId="2BA67AF3" w14:textId="77777777" w:rsidR="00507B46" w:rsidRDefault="00507B46" w:rsidP="00507B46">
      <w:pPr>
        <w:pStyle w:val="Default"/>
        <w:spacing w:after="31"/>
      </w:pPr>
      <w:r>
        <w:t xml:space="preserve">• 75-89 баллов – «хорошо»; </w:t>
      </w:r>
    </w:p>
    <w:p w14:paraId="2CC77633" w14:textId="77777777" w:rsidR="00507B46" w:rsidRDefault="00507B46" w:rsidP="00507B46">
      <w:pPr>
        <w:rPr>
          <w:sz w:val="24"/>
          <w:szCs w:val="24"/>
        </w:rPr>
      </w:pPr>
      <w:r>
        <w:rPr>
          <w:sz w:val="24"/>
          <w:szCs w:val="24"/>
        </w:rPr>
        <w:t>• 90-100 баллов – «отлично».</w:t>
      </w:r>
    </w:p>
    <w:p w14:paraId="7B0E45A9" w14:textId="77777777" w:rsidR="00507B46" w:rsidRDefault="00507B46" w:rsidP="00507B46">
      <w:pPr>
        <w:rPr>
          <w:sz w:val="24"/>
          <w:szCs w:val="24"/>
        </w:rPr>
      </w:pPr>
    </w:p>
    <w:p w14:paraId="6D935B01" w14:textId="77777777" w:rsidR="00507B46" w:rsidRDefault="00507B46" w:rsidP="00507B46">
      <w:pPr>
        <w:rPr>
          <w:sz w:val="24"/>
          <w:szCs w:val="24"/>
        </w:rPr>
      </w:pPr>
      <w:r>
        <w:rPr>
          <w:sz w:val="24"/>
          <w:szCs w:val="24"/>
        </w:rPr>
        <w:t>Оценка «отлично» на экзамене ставится при:</w:t>
      </w:r>
    </w:p>
    <w:p w14:paraId="491723E2" w14:textId="77777777" w:rsidR="00507B46" w:rsidRDefault="00507B46" w:rsidP="00507B46">
      <w:pPr>
        <w:rPr>
          <w:sz w:val="24"/>
          <w:szCs w:val="24"/>
        </w:rPr>
      </w:pPr>
      <w:r>
        <w:rPr>
          <w:sz w:val="24"/>
          <w:szCs w:val="24"/>
        </w:rPr>
        <w:t>- правильном, полном и логично построенном ответе;</w:t>
      </w:r>
    </w:p>
    <w:p w14:paraId="17C86BF2" w14:textId="77777777" w:rsidR="00507B46" w:rsidRDefault="00507B46" w:rsidP="00507B46">
      <w:pPr>
        <w:rPr>
          <w:sz w:val="24"/>
          <w:szCs w:val="24"/>
        </w:rPr>
      </w:pPr>
      <w:r>
        <w:rPr>
          <w:sz w:val="24"/>
          <w:szCs w:val="24"/>
        </w:rPr>
        <w:t>- умении оперировать специальными терминами;</w:t>
      </w:r>
    </w:p>
    <w:p w14:paraId="7EE1EA64" w14:textId="77777777" w:rsidR="00507B46" w:rsidRDefault="00507B46" w:rsidP="00507B46">
      <w:pPr>
        <w:rPr>
          <w:sz w:val="24"/>
          <w:szCs w:val="24"/>
        </w:rPr>
      </w:pPr>
      <w:r>
        <w:rPr>
          <w:sz w:val="24"/>
          <w:szCs w:val="24"/>
        </w:rPr>
        <w:t>- использовании в ответе дополнительного материала;</w:t>
      </w:r>
    </w:p>
    <w:p w14:paraId="3BEA0978"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w:t>
      </w:r>
    </w:p>
    <w:p w14:paraId="1C7A2646" w14:textId="77777777" w:rsidR="00507B46" w:rsidRDefault="00507B46" w:rsidP="00507B46">
      <w:pPr>
        <w:rPr>
          <w:sz w:val="24"/>
          <w:szCs w:val="24"/>
        </w:rPr>
      </w:pPr>
    </w:p>
    <w:p w14:paraId="151B1191" w14:textId="77777777" w:rsidR="00507B46" w:rsidRDefault="00507B46" w:rsidP="00507B46">
      <w:pPr>
        <w:rPr>
          <w:sz w:val="24"/>
          <w:szCs w:val="24"/>
        </w:rPr>
      </w:pPr>
      <w:r>
        <w:rPr>
          <w:sz w:val="24"/>
          <w:szCs w:val="24"/>
        </w:rPr>
        <w:t>Оценка «хорошо» на экзамене ставится при:</w:t>
      </w:r>
    </w:p>
    <w:p w14:paraId="4A7D9BC0" w14:textId="77777777" w:rsidR="00507B46" w:rsidRDefault="00507B46" w:rsidP="00507B46">
      <w:pPr>
        <w:rPr>
          <w:sz w:val="24"/>
          <w:szCs w:val="24"/>
        </w:rPr>
      </w:pPr>
      <w:r>
        <w:rPr>
          <w:sz w:val="24"/>
          <w:szCs w:val="24"/>
        </w:rPr>
        <w:t>- правильном, полном и логично построенном ответе, но имеются негрубые ошибки или неточности;</w:t>
      </w:r>
    </w:p>
    <w:p w14:paraId="4FCCF7CE" w14:textId="77777777" w:rsidR="00507B46" w:rsidRDefault="00507B46" w:rsidP="00507B46">
      <w:pPr>
        <w:rPr>
          <w:sz w:val="24"/>
          <w:szCs w:val="24"/>
        </w:rPr>
      </w:pPr>
      <w:r>
        <w:rPr>
          <w:sz w:val="24"/>
          <w:szCs w:val="24"/>
        </w:rPr>
        <w:t>- умении оперировать специальными терминами, но возможны затруднения в использовании практического материала;</w:t>
      </w:r>
    </w:p>
    <w:p w14:paraId="054B78A0" w14:textId="77777777" w:rsidR="00507B46" w:rsidRDefault="00507B46" w:rsidP="00507B46">
      <w:pPr>
        <w:rPr>
          <w:sz w:val="24"/>
          <w:szCs w:val="24"/>
        </w:rPr>
      </w:pPr>
      <w:r>
        <w:rPr>
          <w:sz w:val="24"/>
          <w:szCs w:val="24"/>
        </w:rPr>
        <w:t>- использовании в ответе дополнительного материала;</w:t>
      </w:r>
    </w:p>
    <w:p w14:paraId="3B5F3CFC"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4FB3657D" w14:textId="77777777" w:rsidR="00507B46" w:rsidRDefault="00507B46" w:rsidP="00507B46">
      <w:pPr>
        <w:rPr>
          <w:sz w:val="24"/>
          <w:szCs w:val="24"/>
        </w:rPr>
      </w:pPr>
    </w:p>
    <w:p w14:paraId="3049535D" w14:textId="77777777" w:rsidR="00507B46" w:rsidRDefault="00507B46" w:rsidP="00507B46">
      <w:pPr>
        <w:rPr>
          <w:sz w:val="24"/>
          <w:szCs w:val="24"/>
        </w:rPr>
      </w:pPr>
      <w:r>
        <w:rPr>
          <w:sz w:val="24"/>
          <w:szCs w:val="24"/>
        </w:rPr>
        <w:t>Оценка «удовлетворительно» на экзамене ставится при:</w:t>
      </w:r>
    </w:p>
    <w:p w14:paraId="080FE04B" w14:textId="77777777" w:rsidR="00507B46" w:rsidRDefault="00507B46" w:rsidP="00507B46">
      <w:pPr>
        <w:rPr>
          <w:sz w:val="24"/>
          <w:szCs w:val="24"/>
        </w:rPr>
      </w:pPr>
      <w:r>
        <w:rPr>
          <w:sz w:val="24"/>
          <w:szCs w:val="24"/>
        </w:rPr>
        <w:t>- схематичном неполном ответе;</w:t>
      </w:r>
    </w:p>
    <w:p w14:paraId="641C57FD" w14:textId="77777777" w:rsidR="00507B46" w:rsidRDefault="00507B46" w:rsidP="00507B46">
      <w:pPr>
        <w:rPr>
          <w:sz w:val="24"/>
          <w:szCs w:val="24"/>
        </w:rPr>
      </w:pPr>
      <w:r>
        <w:rPr>
          <w:sz w:val="24"/>
          <w:szCs w:val="24"/>
        </w:rPr>
        <w:t>- неумении оперировать специальными терминами или их незнании;</w:t>
      </w:r>
    </w:p>
    <w:p w14:paraId="2E686E56" w14:textId="77777777" w:rsidR="00507B46" w:rsidRDefault="00507B46" w:rsidP="00507B46">
      <w:pPr>
        <w:rPr>
          <w:sz w:val="24"/>
          <w:szCs w:val="24"/>
        </w:rPr>
      </w:pPr>
      <w:r>
        <w:rPr>
          <w:sz w:val="24"/>
          <w:szCs w:val="24"/>
        </w:rPr>
        <w:t>- с одной грубой ошибкой;</w:t>
      </w:r>
    </w:p>
    <w:p w14:paraId="775DA285" w14:textId="77777777" w:rsidR="00507B46" w:rsidRDefault="00507B46" w:rsidP="00507B46">
      <w:pPr>
        <w:rPr>
          <w:sz w:val="24"/>
          <w:szCs w:val="24"/>
        </w:rPr>
      </w:pPr>
      <w:r>
        <w:rPr>
          <w:sz w:val="24"/>
          <w:szCs w:val="24"/>
        </w:rPr>
        <w:t>- неумении приводить примеры практического использования научных знаний;</w:t>
      </w:r>
    </w:p>
    <w:p w14:paraId="5E30BAE1" w14:textId="77777777" w:rsidR="00507B46" w:rsidRDefault="00507B46" w:rsidP="00507B46">
      <w:pPr>
        <w:rPr>
          <w:sz w:val="24"/>
          <w:szCs w:val="24"/>
        </w:rPr>
      </w:pPr>
    </w:p>
    <w:p w14:paraId="0E7E3F9B" w14:textId="77777777" w:rsidR="00507B46" w:rsidRDefault="00507B46" w:rsidP="00507B46">
      <w:pPr>
        <w:rPr>
          <w:sz w:val="24"/>
          <w:szCs w:val="24"/>
        </w:rPr>
      </w:pPr>
      <w:r>
        <w:rPr>
          <w:sz w:val="24"/>
          <w:szCs w:val="24"/>
        </w:rPr>
        <w:t>Оценка «неудовлетворительно» на экзамене ставится при:</w:t>
      </w:r>
    </w:p>
    <w:p w14:paraId="1C5AC612" w14:textId="77777777" w:rsidR="00507B46" w:rsidRDefault="00507B46" w:rsidP="00507B46">
      <w:pPr>
        <w:rPr>
          <w:sz w:val="24"/>
          <w:szCs w:val="24"/>
        </w:rPr>
      </w:pPr>
      <w:r>
        <w:rPr>
          <w:sz w:val="24"/>
          <w:szCs w:val="24"/>
        </w:rPr>
        <w:t>- ответе на все вопросы билета с грубыми ошибками;</w:t>
      </w:r>
    </w:p>
    <w:p w14:paraId="616D732F" w14:textId="77777777" w:rsidR="00507B46" w:rsidRDefault="00507B46" w:rsidP="00507B46">
      <w:pPr>
        <w:rPr>
          <w:sz w:val="24"/>
          <w:szCs w:val="24"/>
        </w:rPr>
      </w:pPr>
      <w:r>
        <w:rPr>
          <w:sz w:val="24"/>
          <w:szCs w:val="24"/>
        </w:rPr>
        <w:t>- неумении оперировать специальной терминологией;</w:t>
      </w:r>
    </w:p>
    <w:p w14:paraId="3EE8B953" w14:textId="77777777" w:rsidR="00507B46" w:rsidRDefault="00507B46" w:rsidP="00507B46">
      <w:pPr>
        <w:pStyle w:val="Style23"/>
        <w:widowControl/>
        <w:rPr>
          <w:rStyle w:val="FontStyle134"/>
          <w:b w:val="0"/>
        </w:rPr>
      </w:pPr>
      <w:r>
        <w:lastRenderedPageBreak/>
        <w:t>- неумении приводить примеры практического использования научных знаний.</w:t>
      </w:r>
    </w:p>
    <w:p w14:paraId="011A8A89" w14:textId="77777777" w:rsidR="00507B46" w:rsidRDefault="00507B46" w:rsidP="00507B46">
      <w:pPr>
        <w:jc w:val="both"/>
        <w:rPr>
          <w:rStyle w:val="FontStyle134"/>
          <w:sz w:val="24"/>
          <w:szCs w:val="24"/>
        </w:rPr>
      </w:pPr>
    </w:p>
    <w:p w14:paraId="72415407" w14:textId="77777777" w:rsidR="00507B46" w:rsidRDefault="00507B46" w:rsidP="00507B46">
      <w:pPr>
        <w:jc w:val="both"/>
      </w:pPr>
    </w:p>
    <w:p w14:paraId="72204F6A" w14:textId="77777777" w:rsidR="007A0C20" w:rsidRPr="00507B46" w:rsidRDefault="007A0C20" w:rsidP="00507B46"/>
    <w:sectPr w:rsidR="007A0C20" w:rsidRPr="00507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num>
  <w:num w:numId="27">
    <w:abstractNumId w:val="25"/>
    <w:lvlOverride w:ilvl="0">
      <w:startOverride w:val="1"/>
    </w:lvlOverride>
  </w:num>
  <w:num w:numId="28">
    <w:abstractNumId w:val="9"/>
    <w:lvlOverride w:ilvl="0">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9DC"/>
    <w:rsid w:val="00050029"/>
    <w:rsid w:val="00154C73"/>
    <w:rsid w:val="00190293"/>
    <w:rsid w:val="001D6203"/>
    <w:rsid w:val="001F51CC"/>
    <w:rsid w:val="00285024"/>
    <w:rsid w:val="0038053C"/>
    <w:rsid w:val="00462DAE"/>
    <w:rsid w:val="004E122E"/>
    <w:rsid w:val="0050676F"/>
    <w:rsid w:val="00507B46"/>
    <w:rsid w:val="005709AF"/>
    <w:rsid w:val="005D710B"/>
    <w:rsid w:val="0065502B"/>
    <w:rsid w:val="006E7713"/>
    <w:rsid w:val="00743C6E"/>
    <w:rsid w:val="007465FA"/>
    <w:rsid w:val="00747B2F"/>
    <w:rsid w:val="00792C89"/>
    <w:rsid w:val="007A0C20"/>
    <w:rsid w:val="00851E02"/>
    <w:rsid w:val="008A6378"/>
    <w:rsid w:val="008F2E63"/>
    <w:rsid w:val="008F46A0"/>
    <w:rsid w:val="008F59DC"/>
    <w:rsid w:val="00923424"/>
    <w:rsid w:val="00924B31"/>
    <w:rsid w:val="009A2F95"/>
    <w:rsid w:val="009E799E"/>
    <w:rsid w:val="00A26290"/>
    <w:rsid w:val="00A308D7"/>
    <w:rsid w:val="00A344DF"/>
    <w:rsid w:val="00AC7DA7"/>
    <w:rsid w:val="00BA2429"/>
    <w:rsid w:val="00BE1F29"/>
    <w:rsid w:val="00C1450B"/>
    <w:rsid w:val="00C82E10"/>
    <w:rsid w:val="00CD083A"/>
    <w:rsid w:val="00CE2FE2"/>
    <w:rsid w:val="00E33759"/>
    <w:rsid w:val="00E867CC"/>
    <w:rsid w:val="00EE22C1"/>
    <w:rsid w:val="00F21A21"/>
    <w:rsid w:val="00F342DB"/>
    <w:rsid w:val="00F74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560B99DB-1B69-49E2-A3D3-D03DC8840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749959829">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4384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2646</Words>
  <Characters>15085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ИАТЭ</cp:lastModifiedBy>
  <cp:revision>4</cp:revision>
  <dcterms:created xsi:type="dcterms:W3CDTF">2023-09-23T13:03:00Z</dcterms:created>
  <dcterms:modified xsi:type="dcterms:W3CDTF">2023-09-29T20:14:00Z</dcterms:modified>
</cp:coreProperties>
</file>