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75391F">
              <w:rPr>
                <w:spacing w:val="26"/>
              </w:rPr>
              <w:t>МИНИСТЕРСТВО НАУКИ И ВЫСШЕГО ОБРАЗОВАНИЯ РОССИЙСКОЙ ФЕДЕРАЦИ</w:t>
            </w:r>
            <w:r w:rsidRPr="0075391F">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5C119C28" w:rsidR="00982B92" w:rsidRPr="005D710B" w:rsidRDefault="00982B92" w:rsidP="00982B92">
      <w:pPr>
        <w:ind w:right="-5"/>
        <w:jc w:val="right"/>
        <w:rPr>
          <w:sz w:val="28"/>
          <w:szCs w:val="28"/>
        </w:rPr>
      </w:pPr>
      <w:r w:rsidRPr="005D710B">
        <w:rPr>
          <w:sz w:val="28"/>
          <w:szCs w:val="28"/>
        </w:rPr>
        <w:t>Протокол № 3-8/2022 от 30.08.2022</w:t>
      </w:r>
      <w:r w:rsidR="00676C3A">
        <w:rPr>
          <w:sz w:val="28"/>
          <w:szCs w:val="28"/>
        </w:rPr>
        <w:t>г.</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355"/>
      </w:tblGrid>
      <w:tr w:rsidR="004E122E" w:rsidRPr="009E799E" w14:paraId="6566F188" w14:textId="77777777" w:rsidTr="007A0C20">
        <w:tc>
          <w:tcPr>
            <w:tcW w:w="9571" w:type="dxa"/>
            <w:tcBorders>
              <w:bottom w:val="single" w:sz="4" w:space="0" w:color="auto"/>
            </w:tcBorders>
          </w:tcPr>
          <w:p w14:paraId="5285785A" w14:textId="0FEB3B1B" w:rsidR="004E122E" w:rsidRPr="009E799E" w:rsidRDefault="0075391F" w:rsidP="007A0C20">
            <w:pPr>
              <w:jc w:val="center"/>
              <w:rPr>
                <w:b/>
                <w:sz w:val="28"/>
                <w:szCs w:val="28"/>
              </w:rPr>
            </w:pPr>
            <w:r w:rsidRPr="0075391F">
              <w:rPr>
                <w:b/>
                <w:sz w:val="28"/>
                <w:szCs w:val="28"/>
              </w:rPr>
              <w:t>«Современные тенденции в производстве и обеспечении качества лекарственных препаратов»</w:t>
            </w:r>
            <w:bookmarkStart w:id="2" w:name="_GoBack"/>
            <w:bookmarkEnd w:id="2"/>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4A7B73C3" w:rsidR="004E122E" w:rsidRPr="009E799E" w:rsidRDefault="004E122E" w:rsidP="00676C3A">
      <w:pPr>
        <w:spacing w:line="276" w:lineRule="auto"/>
        <w:ind w:left="426"/>
        <w:rPr>
          <w:b/>
          <w:bCs/>
          <w:sz w:val="28"/>
          <w:szCs w:val="28"/>
        </w:rPr>
      </w:pPr>
      <w:r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декарбоксилирование пирувата и цикл Кребса как пример биохимического каскада. Ферменты, активный центр, нативная конформация. Аллостерическая регуляция. Фосфорилирование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конформации.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холинэстеразы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конформация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конформации белков. Карты распределения электронной плотности в молекуле. Недостатки </w:t>
            </w:r>
            <w:r w:rsidRPr="00236189">
              <w:rPr>
                <w:rStyle w:val="FontStyle134"/>
                <w:b w:val="0"/>
                <w:sz w:val="24"/>
                <w:szCs w:val="24"/>
              </w:rPr>
              <w:lastRenderedPageBreak/>
              <w:t xml:space="preserve">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(цитохромы), гликозилирование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эндоцитоз, активный транспорт. Фармакокинетика.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изоформам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инактивации рецепторов. Распределение по тканям как дополнительный фактор селективности  к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Димеризация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r>
              <w:rPr>
                <w:rStyle w:val="FontStyle134"/>
              </w:rPr>
              <w:t>Фармакокинетика,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конформации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(основности)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w:t>
            </w:r>
            <w:r w:rsidRPr="00236189">
              <w:lastRenderedPageBreak/>
              <w:t>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фармакокинетики.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В изложении материала допускаются небольшие пробелы, которые исправляет </w:t>
      </w:r>
      <w:r w:rsidRPr="001D6203">
        <w:rPr>
          <w:bCs/>
          <w:sz w:val="24"/>
          <w:szCs w:val="24"/>
        </w:rPr>
        <w:lastRenderedPageBreak/>
        <w:t>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виагры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t xml:space="preserve">Рассказать историю открытия и последующего клинического применения следующих </w:t>
      </w:r>
      <w:r w:rsidRPr="008A1159">
        <w:rPr>
          <w:sz w:val="24"/>
          <w:szCs w:val="24"/>
        </w:rPr>
        <w:lastRenderedPageBreak/>
        <w:t>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9"/>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9"/>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9"/>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9"/>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9"/>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9"/>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9"/>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9"/>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9"/>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9"/>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9"/>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9"/>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9"/>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9"/>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9"/>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9"/>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9"/>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9"/>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9"/>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9"/>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9"/>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9"/>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9"/>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9"/>
        <w:widowControl/>
        <w:numPr>
          <w:ilvl w:val="1"/>
          <w:numId w:val="26"/>
        </w:numPr>
        <w:autoSpaceDE/>
        <w:autoSpaceDN/>
        <w:adjustRightInd/>
        <w:spacing w:line="276" w:lineRule="auto"/>
      </w:pPr>
      <w:r>
        <w:t>Цитохром Р450-лабильные положения в структурах АФС</w:t>
      </w:r>
    </w:p>
    <w:p w14:paraId="0F3FB5B8" w14:textId="77777777" w:rsidR="008A1159" w:rsidRDefault="008A1159" w:rsidP="008A1159">
      <w:pPr>
        <w:pStyle w:val="29"/>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9"/>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9"/>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9"/>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9"/>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9"/>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DC"/>
    <w:rsid w:val="000C4426"/>
    <w:rsid w:val="00154C73"/>
    <w:rsid w:val="001D6203"/>
    <w:rsid w:val="001F51CC"/>
    <w:rsid w:val="00230AE2"/>
    <w:rsid w:val="00236189"/>
    <w:rsid w:val="00267BAC"/>
    <w:rsid w:val="00285024"/>
    <w:rsid w:val="0038053C"/>
    <w:rsid w:val="003E608C"/>
    <w:rsid w:val="004177CE"/>
    <w:rsid w:val="00462DAE"/>
    <w:rsid w:val="004E122E"/>
    <w:rsid w:val="00505D05"/>
    <w:rsid w:val="0050676F"/>
    <w:rsid w:val="005709AF"/>
    <w:rsid w:val="00676C3A"/>
    <w:rsid w:val="00743C6E"/>
    <w:rsid w:val="007465FA"/>
    <w:rsid w:val="0075391F"/>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7DA7"/>
    <w:rsid w:val="00B76875"/>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CFA1D4F0-BA7B-4D76-956D-C80A673E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2646</Words>
  <Characters>15084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ИАТЭ</cp:lastModifiedBy>
  <cp:revision>2</cp:revision>
  <dcterms:created xsi:type="dcterms:W3CDTF">2023-09-29T20:12:00Z</dcterms:created>
  <dcterms:modified xsi:type="dcterms:W3CDTF">2023-09-29T20:12:00Z</dcterms:modified>
</cp:coreProperties>
</file>